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2B2E" w14:textId="77777777" w:rsidR="00A47C30" w:rsidRDefault="00722533" w:rsidP="000E7AD5">
      <w:pPr>
        <w:pStyle w:val="Title"/>
      </w:pPr>
      <w:r>
        <w:t>S-64 IHO TEST DATA SET</w:t>
      </w:r>
      <w:r w:rsidR="000E7AD5">
        <w:t xml:space="preserve"> DISCREPANCIES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4441"/>
        <w:gridCol w:w="3909"/>
        <w:gridCol w:w="3401"/>
      </w:tblGrid>
      <w:tr w:rsidR="007D4259" w:rsidRPr="00302A6C" w14:paraId="11CEADFA" w14:textId="77777777" w:rsidTr="007D73DD">
        <w:trPr>
          <w:tblHeader/>
        </w:trPr>
        <w:tc>
          <w:tcPr>
            <w:tcW w:w="1811" w:type="dxa"/>
            <w:shd w:val="clear" w:color="auto" w:fill="D9D9D9" w:themeFill="background1" w:themeFillShade="D9"/>
          </w:tcPr>
          <w:p w14:paraId="58FD5619" w14:textId="77777777" w:rsidR="007D4259" w:rsidRPr="00302A6C" w:rsidRDefault="007D4259" w:rsidP="000E7AD5">
            <w:pPr>
              <w:rPr>
                <w:rFonts w:ascii="Arial" w:hAnsi="Arial" w:cs="Arial"/>
                <w:sz w:val="28"/>
                <w:szCs w:val="28"/>
              </w:rPr>
            </w:pPr>
            <w:r w:rsidRPr="00302A6C">
              <w:rPr>
                <w:rFonts w:ascii="Arial" w:hAnsi="Arial" w:cs="Arial"/>
                <w:sz w:val="28"/>
                <w:szCs w:val="28"/>
              </w:rPr>
              <w:t>S-64 Test reference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14:paraId="09DCCFC5" w14:textId="77777777" w:rsidR="007D4259" w:rsidRPr="00302A6C" w:rsidRDefault="007D4259" w:rsidP="000E7AD5">
            <w:pPr>
              <w:rPr>
                <w:rFonts w:ascii="Arial" w:hAnsi="Arial" w:cs="Arial"/>
                <w:sz w:val="28"/>
                <w:szCs w:val="28"/>
              </w:rPr>
            </w:pPr>
            <w:r w:rsidRPr="00302A6C">
              <w:rPr>
                <w:rFonts w:ascii="Arial" w:hAnsi="Arial" w:cs="Arial"/>
                <w:sz w:val="28"/>
                <w:szCs w:val="28"/>
              </w:rPr>
              <w:t>Description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14:paraId="771B69B7" w14:textId="77777777" w:rsidR="007D4259" w:rsidRPr="00302A6C" w:rsidRDefault="007D4259" w:rsidP="000E7AD5">
            <w:pPr>
              <w:rPr>
                <w:rFonts w:ascii="Arial" w:hAnsi="Arial" w:cs="Arial"/>
                <w:sz w:val="28"/>
                <w:szCs w:val="28"/>
              </w:rPr>
            </w:pPr>
            <w:r w:rsidRPr="00302A6C">
              <w:rPr>
                <w:rFonts w:ascii="Arial" w:hAnsi="Arial" w:cs="Arial"/>
                <w:sz w:val="28"/>
                <w:szCs w:val="28"/>
              </w:rPr>
              <w:t>Discrepancy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1B397AD" w14:textId="77777777" w:rsidR="007D4259" w:rsidRPr="00302A6C" w:rsidRDefault="007D4259" w:rsidP="000E7A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Suggestions</w:t>
            </w:r>
          </w:p>
        </w:tc>
      </w:tr>
      <w:tr w:rsidR="0043612F" w:rsidRPr="0062786B" w14:paraId="7F11065C" w14:textId="77777777" w:rsidTr="007D73DD">
        <w:tc>
          <w:tcPr>
            <w:tcW w:w="1810" w:type="dxa"/>
          </w:tcPr>
          <w:p w14:paraId="13B5863C" w14:textId="4B2DFC1F" w:rsidR="0043612F" w:rsidRDefault="0043612F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434" w:type="dxa"/>
          </w:tcPr>
          <w:p w14:paraId="35EB6498" w14:textId="3E2DFF1D" w:rsidR="0043612F" w:rsidRPr="0043612F" w:rsidRDefault="0043612F" w:rsidP="000E7AD5">
            <w:pPr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436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Loading of initial datasets and indication of own ship stationary position.</w:t>
            </w:r>
          </w:p>
        </w:tc>
        <w:tc>
          <w:tcPr>
            <w:tcW w:w="3904" w:type="dxa"/>
          </w:tcPr>
          <w:p w14:paraId="227EE8EC" w14:textId="23E5830C" w:rsidR="0043612F" w:rsidRPr="007D4259" w:rsidRDefault="0043612F" w:rsidP="0043612F">
            <w:pPr>
              <w:pStyle w:val="ListParagraph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CSP LIGHT06 has changed display of all round lights with VALNMR &gt;= 10 NM. These should be shown with circles. Picture at the test 2.1.1 shows such lights with light flare.</w:t>
            </w:r>
          </w:p>
        </w:tc>
        <w:tc>
          <w:tcPr>
            <w:tcW w:w="3414" w:type="dxa"/>
          </w:tcPr>
          <w:p w14:paraId="79BA6712" w14:textId="7E23533C" w:rsidR="0043612F" w:rsidRDefault="0043612F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new screen shot.</w:t>
            </w:r>
          </w:p>
        </w:tc>
      </w:tr>
      <w:tr w:rsidR="007D4259" w:rsidRPr="0062786B" w14:paraId="5F1E7D81" w14:textId="77777777" w:rsidTr="00133B33">
        <w:tc>
          <w:tcPr>
            <w:tcW w:w="1809" w:type="dxa"/>
          </w:tcPr>
          <w:p w14:paraId="40F5197A" w14:textId="77777777" w:rsidR="007D4259" w:rsidRPr="0062786B" w:rsidRDefault="007D4259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536" w:type="dxa"/>
          </w:tcPr>
          <w:p w14:paraId="15DF2601" w14:textId="77777777" w:rsidR="007D4259" w:rsidRPr="007D4259" w:rsidRDefault="007D4259" w:rsidP="000E7AD5">
            <w:pPr>
              <w:rPr>
                <w:rFonts w:ascii="Arial" w:hAnsi="Arial" w:cs="Arial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Checking that in the chart library the information about the cells is provided as it is given in </w:t>
            </w:r>
            <w:r>
              <w:rPr>
                <w:rFonts w:ascii="Times" w:hAnsi="Times" w:cs="Times"/>
                <w:b/>
                <w:i/>
                <w:iCs/>
                <w:sz w:val="20"/>
                <w:szCs w:val="20"/>
              </w:rPr>
              <w:t xml:space="preserve">Action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3969" w:type="dxa"/>
          </w:tcPr>
          <w:p w14:paraId="2CC1AF2F" w14:textId="77777777" w:rsidR="007D4259" w:rsidRDefault="007D4259" w:rsidP="007D4259">
            <w:pPr>
              <w:pStyle w:val="ListParagraph"/>
              <w:numPr>
                <w:ilvl w:val="0"/>
                <w:numId w:val="1"/>
              </w:numPr>
              <w:ind w:left="176" w:hanging="119"/>
              <w:rPr>
                <w:rFonts w:ascii="Arial" w:hAnsi="Arial" w:cs="Arial"/>
              </w:rPr>
            </w:pPr>
            <w:r w:rsidRPr="007D4259">
              <w:rPr>
                <w:rFonts w:ascii="Arial" w:hAnsi="Arial" w:cs="Arial"/>
              </w:rPr>
              <w:t xml:space="preserve">The </w:t>
            </w:r>
            <w:r w:rsidRPr="007D4259">
              <w:rPr>
                <w:rFonts w:ascii="Arial" w:hAnsi="Arial" w:cs="Arial"/>
                <w:b/>
              </w:rPr>
              <w:t xml:space="preserve">Action </w:t>
            </w:r>
            <w:r w:rsidRPr="007D4259">
              <w:rPr>
                <w:rFonts w:ascii="Arial" w:hAnsi="Arial" w:cs="Arial"/>
              </w:rPr>
              <w:t>section is having table where charts are listed, however, this table is not satisfied to the suggested by IHO S-63 edition 1.2 ENC Status Report.</w:t>
            </w:r>
          </w:p>
          <w:p w14:paraId="1D6A681B" w14:textId="77777777" w:rsidR="007D4259" w:rsidRPr="007D4259" w:rsidRDefault="007D4259" w:rsidP="007D4259">
            <w:pPr>
              <w:pStyle w:val="ListParagraph"/>
              <w:numPr>
                <w:ilvl w:val="0"/>
                <w:numId w:val="1"/>
              </w:numPr>
              <w:ind w:left="176" w:hanging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test references to IEC 61174/4.4.1. The 4.4.1 </w:t>
            </w:r>
            <w:r w:rsidR="00753C89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of IEC 61174 is about the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Contents of the SENC, </w:t>
            </w:r>
            <w:r w:rsidRPr="007D4259">
              <w:rPr>
                <w:rFonts w:ascii="Arial" w:hAnsi="Arial" w:cs="Arial"/>
              </w:rPr>
              <w:t>there is nothing mentioned about the how the chart library should look like.</w:t>
            </w:r>
          </w:p>
        </w:tc>
        <w:tc>
          <w:tcPr>
            <w:tcW w:w="3474" w:type="dxa"/>
          </w:tcPr>
          <w:p w14:paraId="162898F8" w14:textId="77777777" w:rsidR="0046066E" w:rsidRDefault="004862EF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the table whether to the table given in </w:t>
            </w:r>
            <w:r w:rsidRPr="007D4259">
              <w:rPr>
                <w:rFonts w:ascii="Arial" w:hAnsi="Arial" w:cs="Arial"/>
              </w:rPr>
              <w:t>IHO S-63 edition 1.2</w:t>
            </w:r>
            <w:r>
              <w:rPr>
                <w:rFonts w:ascii="Arial" w:hAnsi="Arial" w:cs="Arial"/>
              </w:rPr>
              <w:t xml:space="preserve"> – ENC Status Report, </w:t>
            </w:r>
          </w:p>
          <w:p w14:paraId="2E812EAC" w14:textId="77777777" w:rsidR="0046066E" w:rsidRDefault="0046066E" w:rsidP="000E7AD5">
            <w:pPr>
              <w:rPr>
                <w:rFonts w:ascii="Arial" w:hAnsi="Arial" w:cs="Arial"/>
              </w:rPr>
            </w:pPr>
          </w:p>
          <w:p w14:paraId="2CE84863" w14:textId="77777777" w:rsidR="0046066E" w:rsidRDefault="004862EF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14:paraId="662DD7E0" w14:textId="77777777" w:rsidR="0046066E" w:rsidRDefault="0046066E" w:rsidP="000E7AD5">
            <w:pPr>
              <w:rPr>
                <w:rFonts w:ascii="Arial" w:hAnsi="Arial" w:cs="Arial"/>
              </w:rPr>
            </w:pPr>
          </w:p>
          <w:p w14:paraId="07BFAB62" w14:textId="77777777" w:rsidR="007D4259" w:rsidRPr="004862EF" w:rsidRDefault="00753C89" w:rsidP="00A2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</w:t>
            </w:r>
            <w:r w:rsidR="004862EF">
              <w:rPr>
                <w:rFonts w:ascii="Arial" w:hAnsi="Arial" w:cs="Arial"/>
              </w:rPr>
              <w:t xml:space="preserve"> the </w:t>
            </w:r>
            <w:r w:rsidR="004862EF">
              <w:rPr>
                <w:rFonts w:ascii="Arial" w:hAnsi="Arial" w:cs="Arial"/>
                <w:b/>
              </w:rPr>
              <w:t>Result</w:t>
            </w:r>
            <w:r w:rsidR="004862EF">
              <w:rPr>
                <w:rFonts w:ascii="Arial" w:hAnsi="Arial" w:cs="Arial"/>
              </w:rPr>
              <w:t xml:space="preserve"> content, so inspectors won’t </w:t>
            </w:r>
            <w:r w:rsidR="0046066E">
              <w:rPr>
                <w:rFonts w:ascii="Arial" w:hAnsi="Arial" w:cs="Arial"/>
              </w:rPr>
              <w:t xml:space="preserve">be </w:t>
            </w:r>
            <w:r w:rsidR="004862EF">
              <w:rPr>
                <w:rFonts w:ascii="Arial" w:hAnsi="Arial" w:cs="Arial"/>
              </w:rPr>
              <w:t>search</w:t>
            </w:r>
            <w:r w:rsidR="0046066E">
              <w:rPr>
                <w:rFonts w:ascii="Arial" w:hAnsi="Arial" w:cs="Arial"/>
              </w:rPr>
              <w:t>ing</w:t>
            </w:r>
            <w:r w:rsidR="004862EF">
              <w:rPr>
                <w:rFonts w:ascii="Arial" w:hAnsi="Arial" w:cs="Arial"/>
              </w:rPr>
              <w:t xml:space="preserve"> for the same table in the EUT</w:t>
            </w:r>
            <w:r w:rsidR="0046066E">
              <w:rPr>
                <w:rFonts w:ascii="Arial" w:hAnsi="Arial" w:cs="Arial"/>
              </w:rPr>
              <w:t>.</w:t>
            </w:r>
          </w:p>
        </w:tc>
      </w:tr>
      <w:tr w:rsidR="007D4259" w:rsidRPr="0062786B" w14:paraId="61AB0507" w14:textId="77777777" w:rsidTr="00133B33">
        <w:tc>
          <w:tcPr>
            <w:tcW w:w="1809" w:type="dxa"/>
          </w:tcPr>
          <w:p w14:paraId="7A7294D2" w14:textId="77777777" w:rsidR="007D4259" w:rsidRPr="0062786B" w:rsidRDefault="006A1E95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36" w:type="dxa"/>
          </w:tcPr>
          <w:p w14:paraId="18C43C58" w14:textId="77777777" w:rsidR="007D4259" w:rsidRDefault="006A1E95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After loading of GB5X01SW.001 2nd edition, displayed scale 1:20 000 (screen plot)</w:t>
            </w:r>
          </w:p>
          <w:p w14:paraId="3B4BBFC8" w14:textId="77777777" w:rsidR="006A1E95" w:rsidRPr="0062786B" w:rsidRDefault="006A1E95" w:rsidP="000E7A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4091DE4" w14:textId="46224FFA" w:rsidR="007D4259" w:rsidRPr="0062786B" w:rsidRDefault="000D4C3E" w:rsidP="00D97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plot given in this test is having o</w:t>
            </w:r>
            <w:r w:rsidR="006A1E95">
              <w:rPr>
                <w:rFonts w:ascii="Arial" w:hAnsi="Arial" w:cs="Arial"/>
              </w:rPr>
              <w:t xml:space="preserve">nly </w:t>
            </w:r>
            <w:r w:rsidR="007D73DD">
              <w:rPr>
                <w:rFonts w:ascii="Arial" w:hAnsi="Arial" w:cs="Arial"/>
              </w:rPr>
              <w:t>one</w:t>
            </w:r>
            <w:r w:rsidR="006A1E95">
              <w:rPr>
                <w:rFonts w:ascii="Arial" w:hAnsi="Arial" w:cs="Arial"/>
              </w:rPr>
              <w:t xml:space="preserve"> of DEPARE highlighted by </w:t>
            </w:r>
            <w:r w:rsidR="006A1E95" w:rsidRPr="006A1E95">
              <w:rPr>
                <w:rFonts w:ascii="Arial" w:hAnsi="Arial" w:cs="Arial"/>
              </w:rPr>
              <w:t>Chart Corrections symbols</w:t>
            </w:r>
            <w:r w:rsidR="006A1E95">
              <w:rPr>
                <w:rFonts w:ascii="Arial" w:hAnsi="Arial" w:cs="Arial"/>
              </w:rPr>
              <w:t xml:space="preserve"> (</w:t>
            </w:r>
            <w:r w:rsidR="006A1E95" w:rsidRPr="006A1E95">
              <w:rPr>
                <w:rFonts w:ascii="Arial" w:hAnsi="Arial" w:cs="Arial"/>
              </w:rPr>
              <w:t>SY(CHRVID</w:t>
            </w:r>
            <w:r w:rsidR="007D73DD">
              <w:rPr>
                <w:rFonts w:ascii="Arial" w:hAnsi="Arial" w:cs="Arial"/>
              </w:rPr>
              <w:t>z</w:t>
            </w:r>
            <w:r w:rsidR="006A1E95" w:rsidRPr="006A1E95">
              <w:rPr>
                <w:rFonts w:ascii="Arial" w:hAnsi="Arial" w:cs="Arial"/>
              </w:rPr>
              <w:t>01) and SY(CHRVDEL1)</w:t>
            </w:r>
            <w:r w:rsidR="007D73DD">
              <w:rPr>
                <w:rFonts w:ascii="Arial" w:hAnsi="Arial" w:cs="Arial"/>
              </w:rPr>
              <w:t>.</w:t>
            </w:r>
            <w:r w:rsidR="006A1E95">
              <w:rPr>
                <w:rFonts w:ascii="Arial" w:hAnsi="Arial" w:cs="Arial"/>
              </w:rPr>
              <w:t xml:space="preserve"> </w:t>
            </w:r>
            <w:r w:rsidR="00D97E4C">
              <w:rPr>
                <w:rFonts w:ascii="Arial" w:hAnsi="Arial" w:cs="Arial"/>
              </w:rPr>
              <w:t>Adjacent</w:t>
            </w:r>
            <w:r w:rsidR="007D73DD">
              <w:rPr>
                <w:rFonts w:ascii="Arial" w:hAnsi="Arial" w:cs="Arial"/>
              </w:rPr>
              <w:t xml:space="preserve"> DEPARE was also changed by the update and should be h</w:t>
            </w:r>
            <w:bookmarkStart w:id="0" w:name="_GoBack"/>
            <w:bookmarkEnd w:id="0"/>
            <w:r w:rsidR="007D73DD">
              <w:rPr>
                <w:rFonts w:ascii="Arial" w:hAnsi="Arial" w:cs="Arial"/>
              </w:rPr>
              <w:t xml:space="preserve">ighlighted. </w:t>
            </w:r>
          </w:p>
        </w:tc>
        <w:tc>
          <w:tcPr>
            <w:tcW w:w="3474" w:type="dxa"/>
          </w:tcPr>
          <w:p w14:paraId="2F715409" w14:textId="49FDC1FA" w:rsidR="007D4259" w:rsidRDefault="00235AF1" w:rsidP="0023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14616">
              <w:rPr>
                <w:rFonts w:ascii="Arial" w:hAnsi="Arial" w:cs="Arial"/>
              </w:rPr>
              <w:t xml:space="preserve">he </w:t>
            </w:r>
            <w:r w:rsidR="00814616">
              <w:rPr>
                <w:rFonts w:ascii="Arial" w:hAnsi="Arial" w:cs="Arial"/>
              </w:rPr>
              <w:t xml:space="preserve">boundary of </w:t>
            </w:r>
            <w:r w:rsidR="00814616">
              <w:rPr>
                <w:rFonts w:ascii="Arial" w:hAnsi="Arial" w:cs="Arial"/>
              </w:rPr>
              <w:t>adjacent</w:t>
            </w:r>
            <w:r w:rsidRPr="00235AF1">
              <w:rPr>
                <w:rFonts w:ascii="Arial" w:hAnsi="Arial" w:cs="Arial"/>
              </w:rPr>
              <w:t xml:space="preserve"> </w:t>
            </w:r>
            <w:r w:rsidR="00AC0D78">
              <w:rPr>
                <w:rFonts w:ascii="Arial" w:hAnsi="Arial" w:cs="Arial"/>
              </w:rPr>
              <w:t xml:space="preserve"> DEPARE should also be highlighted, see </w:t>
            </w:r>
            <w:r w:rsidR="00AC0D78" w:rsidRPr="008259F8">
              <w:rPr>
                <w:rFonts w:ascii="Arial" w:hAnsi="Arial" w:cs="Arial"/>
                <w:b/>
              </w:rPr>
              <w:t>Figure 1</w:t>
            </w:r>
            <w:r w:rsidR="00AC0D78">
              <w:rPr>
                <w:rFonts w:ascii="Arial" w:hAnsi="Arial" w:cs="Arial"/>
              </w:rPr>
              <w:t xml:space="preserve"> below</w:t>
            </w:r>
          </w:p>
          <w:p w14:paraId="4CCCA38C" w14:textId="6A33D08C" w:rsidR="00235AF1" w:rsidRPr="0062786B" w:rsidRDefault="00235AF1" w:rsidP="00235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 update makes changes in soundings, MNSYS, and harbor area. All of these should be highlighted</w:t>
            </w:r>
          </w:p>
        </w:tc>
      </w:tr>
      <w:tr w:rsidR="008259F8" w:rsidRPr="0062786B" w14:paraId="42A96C0D" w14:textId="77777777" w:rsidTr="007D73DD">
        <w:tc>
          <w:tcPr>
            <w:tcW w:w="13562" w:type="dxa"/>
            <w:gridSpan w:val="4"/>
          </w:tcPr>
          <w:p w14:paraId="78ECCF35" w14:textId="77777777" w:rsidR="008259F8" w:rsidRDefault="008259F8" w:rsidP="008259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w:drawing>
                <wp:inline distT="0" distB="0" distL="0" distR="0" wp14:anchorId="21F86F81" wp14:editId="52DA6B26">
                  <wp:extent cx="6951765" cy="5616000"/>
                  <wp:effectExtent l="19050" t="0" r="1485" b="0"/>
                  <wp:docPr id="1" name="Picture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765" cy="56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61326" w14:textId="77777777" w:rsidR="008259F8" w:rsidRPr="0062786B" w:rsidRDefault="008259F8" w:rsidP="008259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1.</w:t>
            </w:r>
          </w:p>
        </w:tc>
      </w:tr>
      <w:tr w:rsidR="000D4C3E" w:rsidRPr="0062786B" w14:paraId="083A69C1" w14:textId="77777777" w:rsidTr="007D73DD">
        <w:tc>
          <w:tcPr>
            <w:tcW w:w="1810" w:type="dxa"/>
          </w:tcPr>
          <w:p w14:paraId="2CB63799" w14:textId="77777777" w:rsidR="000D4C3E" w:rsidRPr="0062786B" w:rsidRDefault="00586A32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2.5.7 h)</w:t>
            </w:r>
          </w:p>
        </w:tc>
        <w:tc>
          <w:tcPr>
            <w:tcW w:w="4434" w:type="dxa"/>
          </w:tcPr>
          <w:p w14:paraId="657FA340" w14:textId="77777777" w:rsidR="000D4C3E" w:rsidRDefault="00586A32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D:\IHO S-64 [S-64 V 1.2.1]\7 ENC Data Management\Test 7f\Update</w:t>
            </w:r>
          </w:p>
          <w:p w14:paraId="6CA6B0B4" w14:textId="77777777" w:rsidR="00586A32" w:rsidRDefault="00586A32" w:rsidP="000E7AD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Result:</w:t>
            </w:r>
          </w:p>
          <w:p w14:paraId="51D5DD27" w14:textId="77777777" w:rsidR="00586A32" w:rsidRPr="00586A32" w:rsidRDefault="00586A32" w:rsidP="00586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ECDIS should report the status of all ENCs loaded in accordance with S-63. It should use the issue date of the exchange set as the reference date and should display its reference date as 2nd September </w:t>
            </w:r>
            <w:r w:rsidRPr="00753C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2009 </w:t>
            </w:r>
            <w:r w:rsidRPr="00133B33">
              <w:rPr>
                <w:rFonts w:ascii="Arial" w:hAnsi="Arial" w:cs="Arial"/>
                <w:i/>
                <w:iCs/>
                <w:sz w:val="20"/>
                <w:szCs w:val="20"/>
              </w:rPr>
              <w:t>(the SERIAL .ENC date of the last update loaded).</w:t>
            </w:r>
          </w:p>
        </w:tc>
        <w:tc>
          <w:tcPr>
            <w:tcW w:w="3904" w:type="dxa"/>
          </w:tcPr>
          <w:p w14:paraId="14921370" w14:textId="77777777" w:rsidR="000D4C3E" w:rsidRDefault="00586A32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Serial.ENC file contains this:</w:t>
            </w:r>
          </w:p>
          <w:p w14:paraId="4300633D" w14:textId="77777777" w:rsidR="00586A32" w:rsidRDefault="00586A32" w:rsidP="000E7AD5">
            <w:pPr>
              <w:rPr>
                <w:rFonts w:ascii="Arial" w:hAnsi="Arial" w:cs="Arial"/>
              </w:rPr>
            </w:pPr>
          </w:p>
          <w:p w14:paraId="00EBF3CE" w14:textId="77777777" w:rsidR="00586A32" w:rsidRDefault="00586A32" w:rsidP="000E7AD5">
            <w:pPr>
              <w:rPr>
                <w:rFonts w:ascii="Arial" w:hAnsi="Arial" w:cs="Arial"/>
              </w:rPr>
            </w:pPr>
            <w:r w:rsidRPr="00586A32">
              <w:rPr>
                <w:rFonts w:ascii="Arial" w:hAnsi="Arial" w:cs="Arial"/>
              </w:rPr>
              <w:t xml:space="preserve">GBWK05-09   20090209UPDATE   </w:t>
            </w:r>
          </w:p>
          <w:p w14:paraId="76F4D4BD" w14:textId="77777777" w:rsidR="00586A32" w:rsidRDefault="00586A32" w:rsidP="000E7AD5">
            <w:pPr>
              <w:rPr>
                <w:rFonts w:ascii="Arial" w:hAnsi="Arial" w:cs="Arial"/>
              </w:rPr>
            </w:pPr>
          </w:p>
          <w:p w14:paraId="29924BA0" w14:textId="29F71758" w:rsidR="00586A32" w:rsidRPr="0062786B" w:rsidRDefault="00586A32" w:rsidP="00436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in reality, the </w:t>
            </w:r>
            <w:r w:rsidR="0043612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43612F">
              <w:rPr>
                <w:rFonts w:ascii="Arial" w:hAnsi="Arial" w:cs="Arial"/>
              </w:rPr>
              <w:t>February was on Monday, week 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14" w:type="dxa"/>
          </w:tcPr>
          <w:p w14:paraId="6C6C0CF8" w14:textId="77777777" w:rsidR="000D4C3E" w:rsidRPr="0062786B" w:rsidRDefault="00C21123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Perhaps, SERIAL.ENC should be changed/fixed?</w:t>
            </w:r>
          </w:p>
        </w:tc>
      </w:tr>
      <w:tr w:rsidR="000D4C3E" w:rsidRPr="0062786B" w14:paraId="4B8AA59E" w14:textId="77777777" w:rsidTr="007D73DD">
        <w:tc>
          <w:tcPr>
            <w:tcW w:w="1811" w:type="dxa"/>
          </w:tcPr>
          <w:p w14:paraId="43F7B4B4" w14:textId="77777777" w:rsidR="000D4C3E" w:rsidRPr="0062786B" w:rsidRDefault="00F25B71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441" w:type="dxa"/>
          </w:tcPr>
          <w:p w14:paraId="10DC41F3" w14:textId="77777777" w:rsidR="00F25B71" w:rsidRDefault="00F25B71" w:rsidP="00F25B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Select Symbolized Boundaries</w:t>
            </w:r>
          </w:p>
          <w:p w14:paraId="6CDAB19C" w14:textId="77777777" w:rsidR="00F25B71" w:rsidRDefault="00F25B71" w:rsidP="00F25B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Select Simplified Point Symbols.</w:t>
            </w:r>
          </w:p>
          <w:p w14:paraId="1CDC9F91" w14:textId="77777777" w:rsidR="00F25B71" w:rsidRDefault="00F25B71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E234BF" w14:textId="77777777" w:rsidR="00F25B71" w:rsidRPr="00F25B71" w:rsidRDefault="00F25B71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Buoys, beacons, aids to navigation in Standard Display</w:t>
            </w:r>
          </w:p>
        </w:tc>
        <w:tc>
          <w:tcPr>
            <w:tcW w:w="3909" w:type="dxa"/>
          </w:tcPr>
          <w:p w14:paraId="3F0E70A2" w14:textId="77777777" w:rsidR="000D4C3E" w:rsidRPr="006175FF" w:rsidRDefault="00F25B71" w:rsidP="00617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Buoys, beacons, aids to navigation </w:t>
            </w:r>
            <w:r w:rsidRPr="006175FF">
              <w:rPr>
                <w:rFonts w:ascii="Arial" w:hAnsi="Arial" w:cs="Arial"/>
              </w:rPr>
              <w:t xml:space="preserve">is given </w:t>
            </w:r>
            <w:r w:rsidR="006175FF">
              <w:rPr>
                <w:rFonts w:ascii="Arial" w:hAnsi="Arial" w:cs="Arial"/>
              </w:rPr>
              <w:t>for</w:t>
            </w:r>
            <w:r w:rsidRPr="006175FF">
              <w:rPr>
                <w:rFonts w:ascii="Arial" w:hAnsi="Arial" w:cs="Arial"/>
              </w:rPr>
              <w:t xml:space="preserve"> </w:t>
            </w:r>
            <w:r w:rsidR="006175FF">
              <w:rPr>
                <w:rFonts w:ascii="Arial" w:hAnsi="Arial" w:cs="Arial"/>
              </w:rPr>
              <w:t>Paper chart P</w:t>
            </w:r>
            <w:r w:rsidRPr="006175FF">
              <w:rPr>
                <w:rFonts w:ascii="Arial" w:hAnsi="Arial" w:cs="Arial"/>
              </w:rPr>
              <w:t xml:space="preserve">oints </w:t>
            </w:r>
            <w:r w:rsidR="006175FF">
              <w:rPr>
                <w:rFonts w:ascii="Arial" w:hAnsi="Arial" w:cs="Arial"/>
              </w:rPr>
              <w:t xml:space="preserve">Symbols, but in </w:t>
            </w:r>
            <w:r w:rsidR="006175FF">
              <w:rPr>
                <w:rFonts w:ascii="Arial" w:hAnsi="Arial" w:cs="Arial"/>
                <w:b/>
              </w:rPr>
              <w:t xml:space="preserve">Setup </w:t>
            </w:r>
            <w:r w:rsidR="006175FF">
              <w:rPr>
                <w:rFonts w:ascii="Arial" w:hAnsi="Arial" w:cs="Arial"/>
              </w:rPr>
              <w:t xml:space="preserve">it is set </w:t>
            </w:r>
            <w:r w:rsidR="006175FF">
              <w:rPr>
                <w:rFonts w:ascii="Arial" w:hAnsi="Arial" w:cs="Arial"/>
                <w:i/>
                <w:iCs/>
                <w:sz w:val="20"/>
                <w:szCs w:val="20"/>
              </w:rPr>
              <w:t>Simplified</w:t>
            </w:r>
          </w:p>
        </w:tc>
        <w:tc>
          <w:tcPr>
            <w:tcW w:w="3401" w:type="dxa"/>
          </w:tcPr>
          <w:p w14:paraId="2803CA40" w14:textId="77777777" w:rsidR="000D4C3E" w:rsidRDefault="006175FF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the settings, so </w:t>
            </w:r>
            <w:r>
              <w:rPr>
                <w:rFonts w:ascii="Arial" w:hAnsi="Arial" w:cs="Arial"/>
                <w:b/>
              </w:rPr>
              <w:t xml:space="preserve">Setup </w:t>
            </w:r>
            <w:r>
              <w:rPr>
                <w:rFonts w:ascii="Arial" w:hAnsi="Arial" w:cs="Arial"/>
              </w:rPr>
              <w:t>will have:</w:t>
            </w:r>
          </w:p>
          <w:p w14:paraId="3472B318" w14:textId="77777777" w:rsidR="006175FF" w:rsidRDefault="006175FF" w:rsidP="006175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</w:t>
            </w:r>
            <w:r w:rsidRPr="00F46DC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Paper chart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46DC5">
              <w:rPr>
                <w:rFonts w:ascii="Arial" w:hAnsi="Arial" w:cs="Arial"/>
                <w:i/>
                <w:iCs/>
                <w:sz w:val="20"/>
                <w:szCs w:val="20"/>
              </w:rPr>
              <w:t>Point chart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Symbols.</w:t>
            </w:r>
          </w:p>
          <w:p w14:paraId="2F4D8240" w14:textId="77777777" w:rsidR="006175FF" w:rsidRPr="006175FF" w:rsidRDefault="006175FF" w:rsidP="000E7AD5">
            <w:pPr>
              <w:rPr>
                <w:rFonts w:ascii="Arial" w:hAnsi="Arial" w:cs="Arial"/>
              </w:rPr>
            </w:pPr>
          </w:p>
        </w:tc>
      </w:tr>
      <w:tr w:rsidR="007D4259" w:rsidRPr="0062786B" w14:paraId="4D663172" w14:textId="77777777" w:rsidTr="007D73DD">
        <w:tc>
          <w:tcPr>
            <w:tcW w:w="1811" w:type="dxa"/>
          </w:tcPr>
          <w:p w14:paraId="215BE2E1" w14:textId="77777777" w:rsidR="007D4259" w:rsidRPr="0062786B" w:rsidRDefault="00F55288" w:rsidP="00F55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3.3.9 b)</w:t>
            </w:r>
          </w:p>
        </w:tc>
        <w:tc>
          <w:tcPr>
            <w:tcW w:w="4441" w:type="dxa"/>
          </w:tcPr>
          <w:p w14:paraId="5D1B9B17" w14:textId="77777777" w:rsidR="007D4259" w:rsidRDefault="00F55288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Display of additional chart information symbol (INFORM).</w:t>
            </w:r>
          </w:p>
          <w:p w14:paraId="0719BAE5" w14:textId="77777777" w:rsidR="00F55288" w:rsidRDefault="00F55288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238823" w14:textId="77777777" w:rsidR="00F55288" w:rsidRPr="00F55288" w:rsidRDefault="00F55288" w:rsidP="000E7AD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Select Highlight info</w:t>
            </w:r>
          </w:p>
        </w:tc>
        <w:tc>
          <w:tcPr>
            <w:tcW w:w="3909" w:type="dxa"/>
          </w:tcPr>
          <w:p w14:paraId="4B2A48E2" w14:textId="77777777" w:rsidR="00F55288" w:rsidRDefault="00F55288" w:rsidP="000E7AD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Highlight info </w:t>
            </w:r>
            <w:r w:rsidRPr="00F55288">
              <w:rPr>
                <w:rFonts w:ascii="Arial" w:hAnsi="Arial" w:cs="Arial"/>
                <w:iCs/>
                <w:sz w:val="20"/>
                <w:szCs w:val="20"/>
              </w:rPr>
              <w:t>symbol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must be shown when the </w:t>
            </w:r>
            <w:r w:rsidRPr="004C22FA">
              <w:rPr>
                <w:rFonts w:cs="Arial"/>
              </w:rPr>
              <w:t>INFORM</w:t>
            </w:r>
            <w:r w:rsidRPr="00F55288">
              <w:rPr>
                <w:rFonts w:ascii="Arial" w:hAnsi="Arial" w:cs="Arial"/>
                <w:iCs/>
                <w:sz w:val="20"/>
                <w:szCs w:val="20"/>
              </w:rPr>
              <w:t xml:space="preserve"> attribute is given for an object</w:t>
            </w:r>
            <w:r w:rsidR="00072F60">
              <w:rPr>
                <w:rFonts w:ascii="Arial" w:hAnsi="Arial" w:cs="Arial"/>
                <w:iCs/>
                <w:sz w:val="20"/>
                <w:szCs w:val="20"/>
              </w:rPr>
              <w:t xml:space="preserve"> (PL 4.0 - </w:t>
            </w:r>
            <w:r w:rsidR="00072F60" w:rsidRPr="004C22FA">
              <w:rPr>
                <w:rFonts w:cs="Arial"/>
              </w:rPr>
              <w:t>10.6.1.1</w:t>
            </w:r>
            <w:r w:rsidR="00072F6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03AD959" w14:textId="77777777" w:rsidR="00F55288" w:rsidRDefault="00F55288" w:rsidP="000E7AD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CB10911" w14:textId="77777777" w:rsidR="00F55288" w:rsidRPr="00F55288" w:rsidRDefault="00F55288" w:rsidP="000E7AD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point [discrepancy] is that all the given objects are having INFORM attribute, so when selecting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Highlight info then </w:t>
            </w:r>
            <w:r w:rsidRPr="00072F60">
              <w:rPr>
                <w:rFonts w:ascii="Arial" w:hAnsi="Arial" w:cs="Arial"/>
                <w:i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22FA">
              <w:rPr>
                <w:rFonts w:cs="Arial"/>
              </w:rPr>
              <w:t>INFORM01</w:t>
            </w:r>
            <w:r>
              <w:rPr>
                <w:rFonts w:cs="Arial"/>
              </w:rPr>
              <w:t xml:space="preserve"> </w:t>
            </w:r>
            <w:r w:rsidRPr="00F55288">
              <w:rPr>
                <w:rFonts w:ascii="Arial" w:hAnsi="Arial" w:cs="Arial"/>
                <w:iCs/>
                <w:sz w:val="20"/>
                <w:szCs w:val="20"/>
              </w:rPr>
              <w:t>symbol will be turn</w:t>
            </w:r>
            <w:r w:rsidR="00072F60"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F55288">
              <w:rPr>
                <w:rFonts w:ascii="Arial" w:hAnsi="Arial" w:cs="Arial"/>
                <w:iCs/>
                <w:sz w:val="20"/>
                <w:szCs w:val="20"/>
              </w:rPr>
              <w:t xml:space="preserve"> on for all objects</w:t>
            </w:r>
            <w:r w:rsidR="00FF367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14:paraId="0EB5B3EF" w14:textId="77777777" w:rsidR="007D4259" w:rsidRDefault="00F55288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E47CF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image</w:t>
            </w:r>
          </w:p>
          <w:p w14:paraId="6BC49ABC" w14:textId="77777777" w:rsidR="00F55288" w:rsidRDefault="00F55288" w:rsidP="000E7AD5">
            <w:pPr>
              <w:rPr>
                <w:rFonts w:ascii="Arial" w:hAnsi="Arial" w:cs="Arial"/>
              </w:rPr>
            </w:pPr>
          </w:p>
          <w:p w14:paraId="70710000" w14:textId="77777777" w:rsidR="00F55288" w:rsidRDefault="00F55288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A19FACF" w14:textId="77777777" w:rsidR="00F55288" w:rsidRDefault="00F55288" w:rsidP="000E7AD5">
            <w:pPr>
              <w:rPr>
                <w:rFonts w:ascii="Arial" w:hAnsi="Arial" w:cs="Arial"/>
              </w:rPr>
            </w:pPr>
          </w:p>
          <w:p w14:paraId="11B7A5F4" w14:textId="77777777" w:rsidR="00F55288" w:rsidRPr="0062786B" w:rsidRDefault="00F55288" w:rsidP="00D6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the chart object</w:t>
            </w:r>
            <w:r w:rsidR="00D675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removing INFORM attribute from those which are having </w:t>
            </w:r>
            <w:r w:rsidR="00D6752A">
              <w:rPr>
                <w:rFonts w:ascii="Arial" w:hAnsi="Arial" w:cs="Arial"/>
              </w:rPr>
              <w:t>TXTDSC or NTXDSC, or</w:t>
            </w:r>
            <w:r w:rsidR="00D6752A" w:rsidRPr="00D6752A">
              <w:rPr>
                <w:rFonts w:ascii="Arial" w:hAnsi="Arial" w:cs="Arial"/>
              </w:rPr>
              <w:t xml:space="preserve"> PICREP</w:t>
            </w:r>
          </w:p>
        </w:tc>
      </w:tr>
      <w:tr w:rsidR="007D4259" w:rsidRPr="0062786B" w14:paraId="5F48F444" w14:textId="77777777" w:rsidTr="007D73DD">
        <w:tc>
          <w:tcPr>
            <w:tcW w:w="1811" w:type="dxa"/>
          </w:tcPr>
          <w:p w14:paraId="6483B7E8" w14:textId="77777777" w:rsidR="007D4259" w:rsidRPr="0062786B" w:rsidRDefault="00FF367A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3.6.4</w:t>
            </w:r>
          </w:p>
        </w:tc>
        <w:tc>
          <w:tcPr>
            <w:tcW w:w="4441" w:type="dxa"/>
          </w:tcPr>
          <w:p w14:paraId="2C3322CA" w14:textId="77777777" w:rsidR="00FF367A" w:rsidRPr="00FF367A" w:rsidRDefault="00FF367A" w:rsidP="00FF367A">
            <w:pPr>
              <w:autoSpaceDE w:val="0"/>
              <w:autoSpaceDN w:val="0"/>
              <w:adjustRightInd w:val="0"/>
              <w:rPr>
                <w:rFonts w:ascii="Arial" w:eastAsia="Arial,Italic" w:hAnsi="Arial" w:cs="Arial"/>
                <w:i/>
                <w:iCs/>
                <w:sz w:val="20"/>
                <w:szCs w:val="20"/>
              </w:rPr>
            </w:pPr>
            <w:r w:rsidRPr="00FF367A"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View the object at position 32</w:t>
            </w:r>
            <w:r w:rsidRPr="00FF367A">
              <w:rPr>
                <w:rFonts w:ascii="Arial" w:eastAsia="Arial,Italic" w:hAnsi="Arial" w:cs="Arial" w:hint="eastAsia"/>
                <w:i/>
                <w:iCs/>
                <w:sz w:val="20"/>
                <w:szCs w:val="20"/>
              </w:rPr>
              <w:t>º</w:t>
            </w:r>
            <w:r w:rsidRPr="00FF367A"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21.100</w:t>
            </w:r>
            <w:r w:rsidRPr="00FF367A">
              <w:rPr>
                <w:rFonts w:ascii="Arial" w:eastAsia="Arial,Italic" w:hAnsi="Arial" w:cs="Arial" w:hint="eastAsia"/>
                <w:i/>
                <w:iCs/>
                <w:sz w:val="20"/>
                <w:szCs w:val="20"/>
              </w:rPr>
              <w:t>’</w:t>
            </w:r>
            <w:r w:rsidRPr="00FF367A"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-</w:t>
            </w:r>
            <w:r w:rsidRPr="00FF367A"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61</w:t>
            </w:r>
            <w:r w:rsidRPr="00FF367A">
              <w:rPr>
                <w:rFonts w:ascii="Arial" w:eastAsia="Arial,Italic" w:hAnsi="Arial" w:cs="Arial" w:hint="eastAsia"/>
                <w:i/>
                <w:iCs/>
                <w:sz w:val="20"/>
                <w:szCs w:val="20"/>
              </w:rPr>
              <w:t>º</w:t>
            </w:r>
            <w:r w:rsidRPr="00FF367A"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20.650</w:t>
            </w:r>
            <w:r w:rsidRPr="00FF367A">
              <w:rPr>
                <w:rFonts w:ascii="Arial" w:eastAsia="Arial,Italic" w:hAnsi="Arial" w:cs="Arial" w:hint="eastAsia"/>
                <w:i/>
                <w:iCs/>
                <w:sz w:val="20"/>
                <w:szCs w:val="20"/>
              </w:rPr>
              <w:t>’</w:t>
            </w:r>
            <w:r w:rsidRPr="00FF367A"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E scale 1:5000</w:t>
            </w:r>
          </w:p>
          <w:p w14:paraId="40CA5B40" w14:textId="77777777" w:rsidR="00FF367A" w:rsidRDefault="00FF367A" w:rsidP="00FF367A">
            <w:pPr>
              <w:autoSpaceDE w:val="0"/>
              <w:autoSpaceDN w:val="0"/>
              <w:adjustRightInd w:val="0"/>
              <w:rPr>
                <w:rFonts w:ascii="Arial" w:eastAsia="Arial,Ital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,Italic" w:hAnsi="Arial" w:cs="Arial"/>
                <w:b/>
                <w:bCs/>
                <w:sz w:val="20"/>
                <w:szCs w:val="20"/>
              </w:rPr>
              <w:t>Results</w:t>
            </w:r>
          </w:p>
          <w:p w14:paraId="2E1B851C" w14:textId="77777777" w:rsidR="007D4259" w:rsidRPr="0062786B" w:rsidRDefault="00FF367A" w:rsidP="00FF367A">
            <w:pPr>
              <w:rPr>
                <w:rFonts w:ascii="Arial" w:hAnsi="Arial" w:cs="Arial"/>
              </w:rPr>
            </w:pPr>
            <w:r>
              <w:rPr>
                <w:rFonts w:ascii="Arial" w:eastAsia="Arial,Italic" w:hAnsi="Arial" w:cs="Arial"/>
                <w:i/>
                <w:iCs/>
                <w:sz w:val="20"/>
                <w:szCs w:val="20"/>
              </w:rPr>
              <w:t>Confirm that items 1-4 display as shown in the graphic below:</w:t>
            </w:r>
          </w:p>
        </w:tc>
        <w:tc>
          <w:tcPr>
            <w:tcW w:w="3909" w:type="dxa"/>
          </w:tcPr>
          <w:p w14:paraId="70CE5B5C" w14:textId="77777777" w:rsidR="007D4259" w:rsidRDefault="00BB6B1E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67539">
              <w:rPr>
                <w:rFonts w:ascii="Arial" w:hAnsi="Arial" w:cs="Arial"/>
              </w:rPr>
              <w:t>is showing both objects, but should show only NEWOBJ.</w:t>
            </w:r>
          </w:p>
          <w:p w14:paraId="3793D09C" w14:textId="77777777" w:rsidR="00BB6B1E" w:rsidRDefault="00BB6B1E" w:rsidP="000E7AD5">
            <w:pPr>
              <w:rPr>
                <w:rFonts w:ascii="Arial" w:hAnsi="Arial" w:cs="Arial"/>
                <w:b/>
              </w:rPr>
            </w:pPr>
          </w:p>
          <w:p w14:paraId="3CB6B1A3" w14:textId="77777777" w:rsidR="00BB6B1E" w:rsidRDefault="00BB6B1E" w:rsidP="000E7AD5">
            <w:pPr>
              <w:rPr>
                <w:rFonts w:ascii="Arial" w:hAnsi="Arial" w:cs="Arial"/>
              </w:rPr>
            </w:pPr>
            <w:r w:rsidRPr="00BB6B1E">
              <w:rPr>
                <w:rFonts w:ascii="Arial" w:hAnsi="Arial" w:cs="Arial"/>
                <w:b/>
              </w:rPr>
              <w:t>Lines</w:t>
            </w:r>
            <w:r>
              <w:rPr>
                <w:rFonts w:ascii="Arial" w:hAnsi="Arial" w:cs="Arial"/>
              </w:rPr>
              <w:t xml:space="preserve">: the CANALS object shall not be displayed because NEWOBJ </w:t>
            </w:r>
            <w:r w:rsidR="005F7B7D">
              <w:rPr>
                <w:rFonts w:ascii="Arial" w:hAnsi="Arial" w:cs="Arial"/>
              </w:rPr>
              <w:t>overlays it</w:t>
            </w:r>
            <w:r>
              <w:rPr>
                <w:rFonts w:ascii="Arial" w:hAnsi="Arial" w:cs="Arial"/>
              </w:rPr>
              <w:t xml:space="preserve"> (NEWOBJ priority is 6, CANALS - 2)</w:t>
            </w:r>
          </w:p>
          <w:p w14:paraId="47C98033" w14:textId="77777777" w:rsidR="00BB6B1E" w:rsidRDefault="00BB6B1E" w:rsidP="000E7AD5">
            <w:pPr>
              <w:rPr>
                <w:rFonts w:ascii="Arial" w:hAnsi="Arial" w:cs="Arial"/>
              </w:rPr>
            </w:pPr>
          </w:p>
          <w:p w14:paraId="1847F108" w14:textId="77777777" w:rsidR="00BB6B1E" w:rsidRDefault="00BB6B1E" w:rsidP="000E7AD5">
            <w:pPr>
              <w:rPr>
                <w:rFonts w:ascii="Arial" w:hAnsi="Arial" w:cs="Arial"/>
              </w:rPr>
            </w:pPr>
            <w:r w:rsidRPr="00767539">
              <w:rPr>
                <w:rFonts w:ascii="Arial" w:hAnsi="Arial" w:cs="Arial"/>
                <w:b/>
              </w:rPr>
              <w:t>Areas</w:t>
            </w:r>
            <w:r>
              <w:rPr>
                <w:rFonts w:ascii="Arial" w:hAnsi="Arial" w:cs="Arial"/>
              </w:rPr>
              <w:t xml:space="preserve">: ADMARE – 2, NEWOBJ – 6. The ADMARE boundary is </w:t>
            </w:r>
            <w:r w:rsidR="00767539">
              <w:rPr>
                <w:rFonts w:ascii="Arial" w:hAnsi="Arial" w:cs="Arial"/>
              </w:rPr>
              <w:t>overla</w:t>
            </w:r>
            <w:r w:rsidR="005F7B7D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 by NEWOBJ.</w:t>
            </w:r>
          </w:p>
          <w:p w14:paraId="1AF684D8" w14:textId="77777777" w:rsidR="00BB6B1E" w:rsidRDefault="00BB6B1E" w:rsidP="000E7AD5">
            <w:pPr>
              <w:rPr>
                <w:rFonts w:ascii="Arial" w:hAnsi="Arial" w:cs="Arial"/>
              </w:rPr>
            </w:pPr>
          </w:p>
          <w:p w14:paraId="7E530A23" w14:textId="77777777" w:rsidR="00BB6B1E" w:rsidRPr="0062786B" w:rsidRDefault="00BB6B1E" w:rsidP="000E7AD5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52B8DF58" w14:textId="77777777" w:rsidR="007D4259" w:rsidRDefault="00BB6B1E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the image.</w:t>
            </w:r>
          </w:p>
          <w:p w14:paraId="195D0BE9" w14:textId="77777777" w:rsidR="00BB6B1E" w:rsidRDefault="00BB6B1E" w:rsidP="000E7AD5">
            <w:pPr>
              <w:rPr>
                <w:rFonts w:ascii="Arial" w:hAnsi="Arial" w:cs="Arial"/>
              </w:rPr>
            </w:pPr>
          </w:p>
          <w:p w14:paraId="219EB46D" w14:textId="77777777" w:rsidR="00BB6B1E" w:rsidRDefault="00BB6B1E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607C77B6" w14:textId="77777777" w:rsidR="00BB6B1E" w:rsidRDefault="00BB6B1E" w:rsidP="000E7AD5">
            <w:pPr>
              <w:rPr>
                <w:rFonts w:ascii="Arial" w:hAnsi="Arial" w:cs="Arial"/>
              </w:rPr>
            </w:pPr>
          </w:p>
          <w:p w14:paraId="22097136" w14:textId="77777777" w:rsidR="00BB6B1E" w:rsidRPr="0062786B" w:rsidRDefault="00BB6B1E" w:rsidP="00E4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="00767539">
              <w:rPr>
                <w:rFonts w:ascii="Arial" w:hAnsi="Arial" w:cs="Arial"/>
              </w:rPr>
              <w:t>other objects</w:t>
            </w:r>
            <w:r w:rsidR="00E47CF6">
              <w:rPr>
                <w:rFonts w:ascii="Arial" w:hAnsi="Arial" w:cs="Arial"/>
              </w:rPr>
              <w:t xml:space="preserve"> the priorities of which are higher than NEWOBJ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47CF6" w:rsidRPr="0062786B" w14:paraId="5475DCAA" w14:textId="77777777" w:rsidTr="007D73DD">
        <w:tc>
          <w:tcPr>
            <w:tcW w:w="1811" w:type="dxa"/>
          </w:tcPr>
          <w:p w14:paraId="0CCFB1C4" w14:textId="77777777" w:rsidR="00E47CF6" w:rsidRDefault="00E47CF6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3.6.8</w:t>
            </w:r>
          </w:p>
        </w:tc>
        <w:tc>
          <w:tcPr>
            <w:tcW w:w="4441" w:type="dxa"/>
          </w:tcPr>
          <w:p w14:paraId="16E3769C" w14:textId="77777777" w:rsidR="00E47CF6" w:rsidRDefault="00E47CF6" w:rsidP="00FF36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Unofficial data boundary display.</w:t>
            </w:r>
          </w:p>
          <w:p w14:paraId="2F4A004F" w14:textId="77777777" w:rsidR="00E47CF6" w:rsidRPr="00FF367A" w:rsidRDefault="00E47CF6" w:rsidP="00FF367A">
            <w:pPr>
              <w:autoSpaceDE w:val="0"/>
              <w:autoSpaceDN w:val="0"/>
              <w:adjustRightInd w:val="0"/>
              <w:rPr>
                <w:rFonts w:ascii="Arial" w:eastAsia="Arial,Italic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09" w:type="dxa"/>
          </w:tcPr>
          <w:p w14:paraId="44FAB509" w14:textId="77777777" w:rsidR="00E47CF6" w:rsidRDefault="00E47CF6" w:rsidP="00133B33">
            <w:pPr>
              <w:rPr>
                <w:rFonts w:ascii="Arial" w:hAnsi="Arial" w:cs="Arial"/>
              </w:rPr>
            </w:pPr>
            <w:r w:rsidRPr="00E47CF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discrepancy </w:t>
            </w:r>
            <w:r w:rsidR="00133B33">
              <w:rPr>
                <w:rFonts w:ascii="Arial" w:hAnsi="Arial" w:cs="Arial"/>
              </w:rPr>
              <w:t>relates to</w:t>
            </w:r>
            <w:r w:rsidRPr="00E47CF6">
              <w:rPr>
                <w:rFonts w:ascii="Arial" w:hAnsi="Arial" w:cs="Arial"/>
              </w:rPr>
              <w:t xml:space="preserve"> the one-sided line [LC(NONHODAT] that is </w:t>
            </w:r>
            <w:r w:rsidRPr="00E47CF6">
              <w:rPr>
                <w:rFonts w:ascii="Arial" w:hAnsi="Arial" w:cs="Arial"/>
              </w:rPr>
              <w:lastRenderedPageBreak/>
              <w:t xml:space="preserve">drawn on the boundary of the non-IHO data. The NONHODAT line is overlapped by built-up area drawn at non-official cell. This could happen if the Pres Lib drawing priorities are applied to both official and non-official data objects; in this case unofficial built-up area overlaps official data boundary.  This seems to be illogical since it could lead to a case when boundary between official and non-official data is not shown at all. </w:t>
            </w:r>
            <w:r w:rsidR="00133B33">
              <w:rPr>
                <w:rFonts w:ascii="Arial" w:hAnsi="Arial" w:cs="Arial"/>
              </w:rPr>
              <w:t xml:space="preserve">It is assumed that </w:t>
            </w:r>
            <w:r w:rsidRPr="00E47CF6">
              <w:rPr>
                <w:rFonts w:ascii="Arial" w:hAnsi="Arial" w:cs="Arial"/>
              </w:rPr>
              <w:t>NONHODAT line should have priority over all unofficial data and should always be shown on top of unofficial data.</w:t>
            </w:r>
          </w:p>
        </w:tc>
        <w:tc>
          <w:tcPr>
            <w:tcW w:w="3401" w:type="dxa"/>
          </w:tcPr>
          <w:p w14:paraId="60FFE80B" w14:textId="77777777" w:rsidR="00E47CF6" w:rsidRDefault="00133B33" w:rsidP="000E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Change the image, so NONHODAT line will be drawn </w:t>
            </w:r>
            <w:r>
              <w:rPr>
                <w:rFonts w:ascii="Arial" w:hAnsi="Arial" w:cs="Arial"/>
              </w:rPr>
              <w:lastRenderedPageBreak/>
              <w:t>on top of object from unofficial cell</w:t>
            </w:r>
          </w:p>
        </w:tc>
      </w:tr>
    </w:tbl>
    <w:p w14:paraId="489F4A76" w14:textId="77777777" w:rsidR="000E7AD5" w:rsidRPr="000E7AD5" w:rsidRDefault="000E7AD5" w:rsidP="000E7AD5"/>
    <w:sectPr w:rsidR="000E7AD5" w:rsidRPr="000E7AD5" w:rsidSect="00F64BA9">
      <w:pgSz w:w="15840" w:h="12240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9D4"/>
    <w:multiLevelType w:val="hybridMultilevel"/>
    <w:tmpl w:val="B33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5"/>
    <w:rsid w:val="0000028C"/>
    <w:rsid w:val="00006EE2"/>
    <w:rsid w:val="000077D2"/>
    <w:rsid w:val="0003701C"/>
    <w:rsid w:val="0003784F"/>
    <w:rsid w:val="00053B57"/>
    <w:rsid w:val="00072F60"/>
    <w:rsid w:val="00075EBF"/>
    <w:rsid w:val="0008611A"/>
    <w:rsid w:val="00095B69"/>
    <w:rsid w:val="000962AE"/>
    <w:rsid w:val="0009733D"/>
    <w:rsid w:val="000A4BB8"/>
    <w:rsid w:val="000B1480"/>
    <w:rsid w:val="000B6129"/>
    <w:rsid w:val="000C09EA"/>
    <w:rsid w:val="000D1BB4"/>
    <w:rsid w:val="000D4C3E"/>
    <w:rsid w:val="000E7AD5"/>
    <w:rsid w:val="000F6695"/>
    <w:rsid w:val="001008E6"/>
    <w:rsid w:val="00102D9D"/>
    <w:rsid w:val="00103BDB"/>
    <w:rsid w:val="00117DDF"/>
    <w:rsid w:val="00130104"/>
    <w:rsid w:val="00130A5F"/>
    <w:rsid w:val="00133B33"/>
    <w:rsid w:val="0013591C"/>
    <w:rsid w:val="00136C66"/>
    <w:rsid w:val="001467B5"/>
    <w:rsid w:val="00146CFF"/>
    <w:rsid w:val="00147048"/>
    <w:rsid w:val="00155243"/>
    <w:rsid w:val="001575A3"/>
    <w:rsid w:val="001578BE"/>
    <w:rsid w:val="001610C2"/>
    <w:rsid w:val="00166D99"/>
    <w:rsid w:val="00171659"/>
    <w:rsid w:val="00173631"/>
    <w:rsid w:val="00184934"/>
    <w:rsid w:val="00190951"/>
    <w:rsid w:val="001B0972"/>
    <w:rsid w:val="001B5A36"/>
    <w:rsid w:val="001B7F9E"/>
    <w:rsid w:val="001C5199"/>
    <w:rsid w:val="001E76A1"/>
    <w:rsid w:val="001F70EE"/>
    <w:rsid w:val="002029EF"/>
    <w:rsid w:val="0021161B"/>
    <w:rsid w:val="00211B20"/>
    <w:rsid w:val="002128C3"/>
    <w:rsid w:val="00225B34"/>
    <w:rsid w:val="00235AF1"/>
    <w:rsid w:val="00237C9E"/>
    <w:rsid w:val="00242C54"/>
    <w:rsid w:val="00247D19"/>
    <w:rsid w:val="00262030"/>
    <w:rsid w:val="00262BAB"/>
    <w:rsid w:val="00272FA5"/>
    <w:rsid w:val="00286C59"/>
    <w:rsid w:val="002912A5"/>
    <w:rsid w:val="002922E5"/>
    <w:rsid w:val="00296761"/>
    <w:rsid w:val="0029748F"/>
    <w:rsid w:val="00297A12"/>
    <w:rsid w:val="002A6708"/>
    <w:rsid w:val="002B2816"/>
    <w:rsid w:val="002E0D13"/>
    <w:rsid w:val="002F712D"/>
    <w:rsid w:val="003018FF"/>
    <w:rsid w:val="00302A6C"/>
    <w:rsid w:val="0031510B"/>
    <w:rsid w:val="00316152"/>
    <w:rsid w:val="00320950"/>
    <w:rsid w:val="00320E64"/>
    <w:rsid w:val="003245BE"/>
    <w:rsid w:val="00325038"/>
    <w:rsid w:val="00331343"/>
    <w:rsid w:val="00333662"/>
    <w:rsid w:val="00336197"/>
    <w:rsid w:val="0034649F"/>
    <w:rsid w:val="0035395E"/>
    <w:rsid w:val="003609FD"/>
    <w:rsid w:val="003655B3"/>
    <w:rsid w:val="003800DB"/>
    <w:rsid w:val="003878BF"/>
    <w:rsid w:val="003910F2"/>
    <w:rsid w:val="00395798"/>
    <w:rsid w:val="00396D16"/>
    <w:rsid w:val="003B012D"/>
    <w:rsid w:val="003B36C8"/>
    <w:rsid w:val="003E395C"/>
    <w:rsid w:val="00401554"/>
    <w:rsid w:val="00403164"/>
    <w:rsid w:val="00414342"/>
    <w:rsid w:val="004271CD"/>
    <w:rsid w:val="0043612F"/>
    <w:rsid w:val="00436C6C"/>
    <w:rsid w:val="004430E3"/>
    <w:rsid w:val="0046066E"/>
    <w:rsid w:val="004665F2"/>
    <w:rsid w:val="00470B14"/>
    <w:rsid w:val="00476EA5"/>
    <w:rsid w:val="004862EF"/>
    <w:rsid w:val="004B4FC3"/>
    <w:rsid w:val="004B5D5E"/>
    <w:rsid w:val="004C68C1"/>
    <w:rsid w:val="004C76EA"/>
    <w:rsid w:val="004D3F7F"/>
    <w:rsid w:val="004E496B"/>
    <w:rsid w:val="00512E23"/>
    <w:rsid w:val="0052167E"/>
    <w:rsid w:val="005236AF"/>
    <w:rsid w:val="00526491"/>
    <w:rsid w:val="00546683"/>
    <w:rsid w:val="00557AA9"/>
    <w:rsid w:val="00562545"/>
    <w:rsid w:val="005626D6"/>
    <w:rsid w:val="00566E98"/>
    <w:rsid w:val="00575BB7"/>
    <w:rsid w:val="00586A32"/>
    <w:rsid w:val="005969DA"/>
    <w:rsid w:val="00597446"/>
    <w:rsid w:val="005A3522"/>
    <w:rsid w:val="005B16A7"/>
    <w:rsid w:val="005D1A2E"/>
    <w:rsid w:val="005D5FD7"/>
    <w:rsid w:val="005F7B7D"/>
    <w:rsid w:val="00603649"/>
    <w:rsid w:val="00604C8C"/>
    <w:rsid w:val="006111A4"/>
    <w:rsid w:val="00614AEB"/>
    <w:rsid w:val="00615D17"/>
    <w:rsid w:val="006175FF"/>
    <w:rsid w:val="00617F95"/>
    <w:rsid w:val="0062393A"/>
    <w:rsid w:val="00625FD5"/>
    <w:rsid w:val="0062786B"/>
    <w:rsid w:val="00635CA3"/>
    <w:rsid w:val="006437EC"/>
    <w:rsid w:val="0064560C"/>
    <w:rsid w:val="0064768F"/>
    <w:rsid w:val="00650B2E"/>
    <w:rsid w:val="00663DA7"/>
    <w:rsid w:val="0069289D"/>
    <w:rsid w:val="0069312F"/>
    <w:rsid w:val="006A09D1"/>
    <w:rsid w:val="006A1E95"/>
    <w:rsid w:val="006A4A65"/>
    <w:rsid w:val="006B602D"/>
    <w:rsid w:val="006B74EC"/>
    <w:rsid w:val="006C0E42"/>
    <w:rsid w:val="006C1A11"/>
    <w:rsid w:val="006C776F"/>
    <w:rsid w:val="006D7D32"/>
    <w:rsid w:val="006F0225"/>
    <w:rsid w:val="007051E1"/>
    <w:rsid w:val="00717E05"/>
    <w:rsid w:val="00722378"/>
    <w:rsid w:val="00722533"/>
    <w:rsid w:val="0074038B"/>
    <w:rsid w:val="00744250"/>
    <w:rsid w:val="00745167"/>
    <w:rsid w:val="00753C89"/>
    <w:rsid w:val="007578F3"/>
    <w:rsid w:val="00761E28"/>
    <w:rsid w:val="00763B67"/>
    <w:rsid w:val="0076454B"/>
    <w:rsid w:val="00767539"/>
    <w:rsid w:val="007734CE"/>
    <w:rsid w:val="00775EE9"/>
    <w:rsid w:val="00777B18"/>
    <w:rsid w:val="00791D4A"/>
    <w:rsid w:val="007C32A5"/>
    <w:rsid w:val="007C3C76"/>
    <w:rsid w:val="007D4259"/>
    <w:rsid w:val="007D73DD"/>
    <w:rsid w:val="007F1D07"/>
    <w:rsid w:val="00800252"/>
    <w:rsid w:val="0080787D"/>
    <w:rsid w:val="00814616"/>
    <w:rsid w:val="00820748"/>
    <w:rsid w:val="008259F8"/>
    <w:rsid w:val="008341EA"/>
    <w:rsid w:val="0084264B"/>
    <w:rsid w:val="00852DA5"/>
    <w:rsid w:val="008579AE"/>
    <w:rsid w:val="0086552A"/>
    <w:rsid w:val="00874B13"/>
    <w:rsid w:val="008752A1"/>
    <w:rsid w:val="00880CCB"/>
    <w:rsid w:val="00887AA2"/>
    <w:rsid w:val="008932B9"/>
    <w:rsid w:val="008A322C"/>
    <w:rsid w:val="008D0C7E"/>
    <w:rsid w:val="008D1CE6"/>
    <w:rsid w:val="008D35C2"/>
    <w:rsid w:val="008D6791"/>
    <w:rsid w:val="008E5DC6"/>
    <w:rsid w:val="00912F93"/>
    <w:rsid w:val="0091500F"/>
    <w:rsid w:val="00917F25"/>
    <w:rsid w:val="0092624C"/>
    <w:rsid w:val="0093083C"/>
    <w:rsid w:val="00941D4D"/>
    <w:rsid w:val="00941EFE"/>
    <w:rsid w:val="00962550"/>
    <w:rsid w:val="0096791F"/>
    <w:rsid w:val="009804C1"/>
    <w:rsid w:val="00995E84"/>
    <w:rsid w:val="009A00B8"/>
    <w:rsid w:val="009A239A"/>
    <w:rsid w:val="009A32B6"/>
    <w:rsid w:val="009C0FCA"/>
    <w:rsid w:val="009C1A1E"/>
    <w:rsid w:val="009D09F8"/>
    <w:rsid w:val="009D21E7"/>
    <w:rsid w:val="009E47BC"/>
    <w:rsid w:val="009F01C2"/>
    <w:rsid w:val="009F30E7"/>
    <w:rsid w:val="00A10914"/>
    <w:rsid w:val="00A149BD"/>
    <w:rsid w:val="00A279FD"/>
    <w:rsid w:val="00A301D4"/>
    <w:rsid w:val="00A41313"/>
    <w:rsid w:val="00A53805"/>
    <w:rsid w:val="00A550D2"/>
    <w:rsid w:val="00A56FCC"/>
    <w:rsid w:val="00A65785"/>
    <w:rsid w:val="00A87C55"/>
    <w:rsid w:val="00AA4C35"/>
    <w:rsid w:val="00AC024B"/>
    <w:rsid w:val="00AC02B1"/>
    <w:rsid w:val="00AC0D78"/>
    <w:rsid w:val="00AE2C23"/>
    <w:rsid w:val="00AF3279"/>
    <w:rsid w:val="00B104BA"/>
    <w:rsid w:val="00B22D50"/>
    <w:rsid w:val="00B25215"/>
    <w:rsid w:val="00B37A85"/>
    <w:rsid w:val="00B44CF7"/>
    <w:rsid w:val="00B46005"/>
    <w:rsid w:val="00B47E8A"/>
    <w:rsid w:val="00B5395A"/>
    <w:rsid w:val="00B54BF9"/>
    <w:rsid w:val="00B5512B"/>
    <w:rsid w:val="00B55688"/>
    <w:rsid w:val="00B56D69"/>
    <w:rsid w:val="00B637DE"/>
    <w:rsid w:val="00B8101D"/>
    <w:rsid w:val="00B855A9"/>
    <w:rsid w:val="00B96B3A"/>
    <w:rsid w:val="00B96E2A"/>
    <w:rsid w:val="00BB154C"/>
    <w:rsid w:val="00BB6B1E"/>
    <w:rsid w:val="00BB7E21"/>
    <w:rsid w:val="00BB7FEF"/>
    <w:rsid w:val="00BF62A9"/>
    <w:rsid w:val="00C1621B"/>
    <w:rsid w:val="00C21123"/>
    <w:rsid w:val="00C215A8"/>
    <w:rsid w:val="00C263C2"/>
    <w:rsid w:val="00C345A5"/>
    <w:rsid w:val="00C35516"/>
    <w:rsid w:val="00C41332"/>
    <w:rsid w:val="00C45216"/>
    <w:rsid w:val="00C506F8"/>
    <w:rsid w:val="00C61072"/>
    <w:rsid w:val="00C635DC"/>
    <w:rsid w:val="00C64B3E"/>
    <w:rsid w:val="00C70E0C"/>
    <w:rsid w:val="00C75145"/>
    <w:rsid w:val="00C80D47"/>
    <w:rsid w:val="00C80DEB"/>
    <w:rsid w:val="00C9108F"/>
    <w:rsid w:val="00CA518E"/>
    <w:rsid w:val="00CA59AF"/>
    <w:rsid w:val="00CB1144"/>
    <w:rsid w:val="00CD021E"/>
    <w:rsid w:val="00CD65EA"/>
    <w:rsid w:val="00D004B0"/>
    <w:rsid w:val="00D07B6E"/>
    <w:rsid w:val="00D164BE"/>
    <w:rsid w:val="00D1653A"/>
    <w:rsid w:val="00D3256B"/>
    <w:rsid w:val="00D40666"/>
    <w:rsid w:val="00D47FAF"/>
    <w:rsid w:val="00D61B6E"/>
    <w:rsid w:val="00D62327"/>
    <w:rsid w:val="00D6430D"/>
    <w:rsid w:val="00D66E4D"/>
    <w:rsid w:val="00D6752A"/>
    <w:rsid w:val="00D80A95"/>
    <w:rsid w:val="00D81DEA"/>
    <w:rsid w:val="00D9464F"/>
    <w:rsid w:val="00D97E4C"/>
    <w:rsid w:val="00DB130F"/>
    <w:rsid w:val="00DB70FC"/>
    <w:rsid w:val="00DC257D"/>
    <w:rsid w:val="00DD3773"/>
    <w:rsid w:val="00DD3CBA"/>
    <w:rsid w:val="00DF5A2A"/>
    <w:rsid w:val="00E370A1"/>
    <w:rsid w:val="00E40B1D"/>
    <w:rsid w:val="00E47CF6"/>
    <w:rsid w:val="00E5538A"/>
    <w:rsid w:val="00E605E9"/>
    <w:rsid w:val="00E63FBB"/>
    <w:rsid w:val="00E75349"/>
    <w:rsid w:val="00E97491"/>
    <w:rsid w:val="00EA5042"/>
    <w:rsid w:val="00EB0E48"/>
    <w:rsid w:val="00EC0CD9"/>
    <w:rsid w:val="00EC370C"/>
    <w:rsid w:val="00EC5391"/>
    <w:rsid w:val="00ED0D9C"/>
    <w:rsid w:val="00ED2F30"/>
    <w:rsid w:val="00EE7A9F"/>
    <w:rsid w:val="00F1450A"/>
    <w:rsid w:val="00F15362"/>
    <w:rsid w:val="00F17647"/>
    <w:rsid w:val="00F210BD"/>
    <w:rsid w:val="00F25B71"/>
    <w:rsid w:val="00F309B0"/>
    <w:rsid w:val="00F42556"/>
    <w:rsid w:val="00F43BB7"/>
    <w:rsid w:val="00F46DC5"/>
    <w:rsid w:val="00F50EE2"/>
    <w:rsid w:val="00F55288"/>
    <w:rsid w:val="00F558B3"/>
    <w:rsid w:val="00F56F3A"/>
    <w:rsid w:val="00F61F86"/>
    <w:rsid w:val="00F64BA9"/>
    <w:rsid w:val="00F73B5C"/>
    <w:rsid w:val="00F77D56"/>
    <w:rsid w:val="00F86377"/>
    <w:rsid w:val="00F92401"/>
    <w:rsid w:val="00F96388"/>
    <w:rsid w:val="00FA3F43"/>
    <w:rsid w:val="00FA48E9"/>
    <w:rsid w:val="00FB1FB2"/>
    <w:rsid w:val="00FC0385"/>
    <w:rsid w:val="00FC43A6"/>
    <w:rsid w:val="00FC477F"/>
    <w:rsid w:val="00FC7430"/>
    <w:rsid w:val="00FD0233"/>
    <w:rsid w:val="00FE7C86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A0454"/>
  <w15:docId w15:val="{73B9831B-6075-492A-91DF-F28BE56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41059-FFB0-4837-BDA7-315FBB03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Kolyada</dc:creator>
  <cp:keywords/>
  <dc:description/>
  <cp:lastModifiedBy>Ivanov, Konstantin</cp:lastModifiedBy>
  <cp:revision>8</cp:revision>
  <dcterms:created xsi:type="dcterms:W3CDTF">2015-12-22T11:43:00Z</dcterms:created>
  <dcterms:modified xsi:type="dcterms:W3CDTF">2015-12-22T15:58:00Z</dcterms:modified>
</cp:coreProperties>
</file>