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06" w:rsidRDefault="0018248F" w:rsidP="0018248F">
      <w:pPr>
        <w:jc w:val="center"/>
        <w:rPr>
          <w:b/>
          <w:sz w:val="22"/>
          <w:szCs w:val="22"/>
          <w:lang w:val="en-AU"/>
        </w:rPr>
      </w:pPr>
      <w:r w:rsidRPr="0018248F">
        <w:rPr>
          <w:b/>
          <w:sz w:val="22"/>
          <w:szCs w:val="22"/>
          <w:lang w:val="en-AU"/>
        </w:rPr>
        <w:t>PROPOS</w:t>
      </w:r>
      <w:r w:rsidR="001261A8">
        <w:rPr>
          <w:b/>
          <w:sz w:val="22"/>
          <w:szCs w:val="22"/>
          <w:lang w:val="en-AU"/>
        </w:rPr>
        <w:t xml:space="preserve">AL FOR AMENDMENTS TO THE IRCC </w:t>
      </w:r>
      <w:proofErr w:type="spellStart"/>
      <w:r w:rsidR="0035756A">
        <w:rPr>
          <w:b/>
          <w:sz w:val="22"/>
          <w:szCs w:val="22"/>
          <w:lang w:val="en-AU"/>
        </w:rPr>
        <w:t>ToRs</w:t>
      </w:r>
      <w:proofErr w:type="spellEnd"/>
      <w:r w:rsidR="001261A8">
        <w:rPr>
          <w:b/>
          <w:sz w:val="22"/>
          <w:szCs w:val="22"/>
          <w:lang w:val="en-AU"/>
        </w:rPr>
        <w:t xml:space="preserve"> AND </w:t>
      </w:r>
      <w:proofErr w:type="spellStart"/>
      <w:r w:rsidR="001261A8">
        <w:rPr>
          <w:b/>
          <w:sz w:val="22"/>
          <w:szCs w:val="22"/>
          <w:lang w:val="en-AU"/>
        </w:rPr>
        <w:t>RoP</w:t>
      </w:r>
      <w:r w:rsidR="0035756A">
        <w:rPr>
          <w:b/>
          <w:sz w:val="22"/>
          <w:szCs w:val="22"/>
          <w:lang w:val="en-AU"/>
        </w:rPr>
        <w:t>s</w:t>
      </w:r>
      <w:proofErr w:type="spellEnd"/>
    </w:p>
    <w:p w:rsidR="0018248F" w:rsidRPr="00CF26D3" w:rsidRDefault="0018248F" w:rsidP="0018248F">
      <w:pPr>
        <w:jc w:val="center"/>
        <w:rPr>
          <w:sz w:val="22"/>
          <w:szCs w:val="22"/>
          <w:lang w:val="en-A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6428"/>
      </w:tblGrid>
      <w:tr w:rsidR="004F5A06" w:rsidRPr="00CF26D3" w:rsidTr="00B8628B">
        <w:trPr>
          <w:jc w:val="center"/>
        </w:trPr>
        <w:tc>
          <w:tcPr>
            <w:tcW w:w="2781" w:type="dxa"/>
          </w:tcPr>
          <w:p w:rsidR="004F5A06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CF26D3">
              <w:rPr>
                <w:sz w:val="22"/>
                <w:szCs w:val="22"/>
                <w:lang w:val="en-AU"/>
              </w:rPr>
              <w:br w:type="page"/>
            </w:r>
            <w:r w:rsidRPr="00CF26D3">
              <w:rPr>
                <w:b/>
                <w:i/>
                <w:sz w:val="22"/>
                <w:szCs w:val="22"/>
                <w:lang w:val="en-AU"/>
              </w:rPr>
              <w:t>Submitted by:</w:t>
            </w:r>
          </w:p>
          <w:p w:rsidR="0018248F" w:rsidRPr="00CF26D3" w:rsidRDefault="0018248F" w:rsidP="004F5A06">
            <w:pPr>
              <w:rPr>
                <w:b/>
                <w:i/>
                <w:sz w:val="22"/>
                <w:szCs w:val="22"/>
                <w:lang w:val="en-AU"/>
              </w:rPr>
            </w:pPr>
          </w:p>
        </w:tc>
        <w:tc>
          <w:tcPr>
            <w:tcW w:w="6428" w:type="dxa"/>
          </w:tcPr>
          <w:p w:rsidR="004F5A06" w:rsidRPr="00CF26D3" w:rsidRDefault="0018248F" w:rsidP="00184A28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IRCC Chair</w:t>
            </w:r>
          </w:p>
        </w:tc>
      </w:tr>
      <w:tr w:rsidR="004F5A06" w:rsidRPr="00CF26D3" w:rsidTr="00B8628B">
        <w:trPr>
          <w:jc w:val="center"/>
        </w:trPr>
        <w:tc>
          <w:tcPr>
            <w:tcW w:w="2781" w:type="dxa"/>
          </w:tcPr>
          <w:p w:rsidR="004F5A06" w:rsidRPr="00CF26D3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CF26D3">
              <w:rPr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428" w:type="dxa"/>
          </w:tcPr>
          <w:p w:rsidR="004F5A06" w:rsidRDefault="00102FDA" w:rsidP="004F5A06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This document proposes amendments to the IRCC Terms of Reference</w:t>
            </w:r>
            <w:r w:rsidR="001261A8">
              <w:rPr>
                <w:sz w:val="22"/>
                <w:szCs w:val="22"/>
                <w:lang w:val="en-AU"/>
              </w:rPr>
              <w:t xml:space="preserve"> (</w:t>
            </w:r>
            <w:proofErr w:type="spellStart"/>
            <w:r w:rsidR="0035756A">
              <w:rPr>
                <w:sz w:val="22"/>
                <w:szCs w:val="22"/>
                <w:lang w:val="en-AU"/>
              </w:rPr>
              <w:t>ToRs</w:t>
            </w:r>
            <w:proofErr w:type="spellEnd"/>
            <w:r w:rsidR="001261A8">
              <w:rPr>
                <w:sz w:val="22"/>
                <w:szCs w:val="22"/>
                <w:lang w:val="en-AU"/>
              </w:rPr>
              <w:t xml:space="preserve">) </w:t>
            </w:r>
            <w:r>
              <w:rPr>
                <w:sz w:val="22"/>
                <w:szCs w:val="22"/>
                <w:lang w:val="en-AU"/>
              </w:rPr>
              <w:t xml:space="preserve">and Rules of Procedure </w:t>
            </w:r>
            <w:r w:rsidR="001261A8">
              <w:rPr>
                <w:sz w:val="22"/>
                <w:szCs w:val="22"/>
                <w:lang w:val="en-AU"/>
              </w:rPr>
              <w:t>(</w:t>
            </w:r>
            <w:proofErr w:type="spellStart"/>
            <w:r w:rsidR="001261A8">
              <w:rPr>
                <w:sz w:val="22"/>
                <w:szCs w:val="22"/>
                <w:lang w:val="en-AU"/>
              </w:rPr>
              <w:t>RoP</w:t>
            </w:r>
            <w:r w:rsidR="0035756A">
              <w:rPr>
                <w:sz w:val="22"/>
                <w:szCs w:val="22"/>
                <w:lang w:val="en-AU"/>
              </w:rPr>
              <w:t>s</w:t>
            </w:r>
            <w:proofErr w:type="spellEnd"/>
            <w:r w:rsidR="001261A8">
              <w:rPr>
                <w:sz w:val="22"/>
                <w:szCs w:val="22"/>
                <w:lang w:val="en-AU"/>
              </w:rPr>
              <w:t xml:space="preserve">) </w:t>
            </w:r>
            <w:r>
              <w:rPr>
                <w:sz w:val="22"/>
                <w:szCs w:val="22"/>
                <w:lang w:val="en-AU"/>
              </w:rPr>
              <w:t>as tasked by the IHO Council</w:t>
            </w:r>
            <w:r w:rsidR="004F5A06" w:rsidRPr="00CF26D3">
              <w:rPr>
                <w:sz w:val="22"/>
                <w:szCs w:val="22"/>
                <w:lang w:val="en-AU"/>
              </w:rPr>
              <w:t>.</w:t>
            </w:r>
          </w:p>
          <w:p w:rsidR="0018248F" w:rsidRPr="00CF26D3" w:rsidRDefault="0018248F" w:rsidP="004F5A06">
            <w:pPr>
              <w:rPr>
                <w:sz w:val="22"/>
                <w:szCs w:val="22"/>
                <w:lang w:val="en-AU"/>
              </w:rPr>
            </w:pPr>
          </w:p>
        </w:tc>
      </w:tr>
      <w:tr w:rsidR="004F5A06" w:rsidRPr="00CF26D3" w:rsidTr="00B8628B">
        <w:trPr>
          <w:jc w:val="center"/>
        </w:trPr>
        <w:tc>
          <w:tcPr>
            <w:tcW w:w="2781" w:type="dxa"/>
          </w:tcPr>
          <w:p w:rsidR="004F5A06" w:rsidRPr="00CF26D3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CF26D3">
              <w:rPr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428" w:type="dxa"/>
          </w:tcPr>
          <w:p w:rsidR="00102FDA" w:rsidRPr="00102FDA" w:rsidRDefault="00102FDA" w:rsidP="0010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en-AU"/>
              </w:rPr>
            </w:pPr>
            <w:r w:rsidRPr="00102FDA">
              <w:rPr>
                <w:lang w:val="en-AU"/>
              </w:rPr>
              <w:t>Action IHO Council C1/05</w:t>
            </w:r>
          </w:p>
          <w:p w:rsidR="00102FDA" w:rsidRPr="00102FDA" w:rsidRDefault="00102FDA" w:rsidP="0010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en-AU"/>
              </w:rPr>
            </w:pPr>
            <w:r w:rsidRPr="00102FDA">
              <w:rPr>
                <w:lang w:val="en-AU"/>
              </w:rPr>
              <w:t>IHO CL 15/2018 - Continuation of the adoption process of HSSC and IRCC recommendations</w:t>
            </w:r>
          </w:p>
          <w:p w:rsidR="004F5A06" w:rsidRDefault="00AE4820" w:rsidP="00AE48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en-AU"/>
              </w:rPr>
            </w:pPr>
            <w:r w:rsidRPr="00AE4820">
              <w:rPr>
                <w:lang w:val="en-AU"/>
              </w:rPr>
              <w:t>Decision A1/12 – Review of IHO Resolution 2/2007</w:t>
            </w:r>
          </w:p>
          <w:p w:rsidR="0018248F" w:rsidRPr="0018248F" w:rsidRDefault="0018248F" w:rsidP="0018248F">
            <w:pPr>
              <w:rPr>
                <w:lang w:val="en-AU"/>
              </w:rPr>
            </w:pPr>
          </w:p>
        </w:tc>
      </w:tr>
      <w:tr w:rsidR="004F5A06" w:rsidRPr="00CF26D3" w:rsidTr="00B8628B">
        <w:trPr>
          <w:jc w:val="center"/>
        </w:trPr>
        <w:tc>
          <w:tcPr>
            <w:tcW w:w="2781" w:type="dxa"/>
          </w:tcPr>
          <w:p w:rsidR="004F5A06" w:rsidRPr="00CF26D3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CF26D3">
              <w:rPr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428" w:type="dxa"/>
          </w:tcPr>
          <w:p w:rsidR="004F5A06" w:rsidRPr="00CF26D3" w:rsidRDefault="001261A8" w:rsidP="0018248F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N/A</w:t>
            </w:r>
          </w:p>
        </w:tc>
      </w:tr>
    </w:tbl>
    <w:p w:rsidR="004F5A06" w:rsidRPr="00CF26D3" w:rsidRDefault="004F5A06" w:rsidP="0023519C">
      <w:pPr>
        <w:pStyle w:val="Heading2"/>
        <w:rPr>
          <w:rFonts w:ascii="Times New Roman" w:hAnsi="Times New Roman"/>
          <w:szCs w:val="22"/>
        </w:rPr>
      </w:pPr>
      <w:r w:rsidRPr="00CF26D3">
        <w:rPr>
          <w:rFonts w:ascii="Times New Roman" w:hAnsi="Times New Roman"/>
          <w:szCs w:val="22"/>
        </w:rPr>
        <w:t>Introduction / Background</w:t>
      </w:r>
    </w:p>
    <w:p w:rsidR="00182B97" w:rsidRDefault="0023519C" w:rsidP="00182B97">
      <w:pPr>
        <w:pStyle w:val="Heading2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1.</w:t>
      </w:r>
      <w:r>
        <w:rPr>
          <w:rFonts w:ascii="Times New Roman" w:hAnsi="Times New Roman"/>
          <w:b w:val="0"/>
          <w:szCs w:val="22"/>
        </w:rPr>
        <w:tab/>
      </w:r>
      <w:r w:rsidR="00AE4820" w:rsidRPr="00AE4820">
        <w:rPr>
          <w:rFonts w:ascii="Times New Roman" w:hAnsi="Times New Roman"/>
          <w:b w:val="0"/>
          <w:szCs w:val="22"/>
        </w:rPr>
        <w:t>At its 1</w:t>
      </w:r>
      <w:r w:rsidR="00AE4820" w:rsidRPr="00AE4820">
        <w:rPr>
          <w:rFonts w:ascii="Times New Roman" w:hAnsi="Times New Roman"/>
          <w:b w:val="0"/>
          <w:szCs w:val="22"/>
          <w:vertAlign w:val="superscript"/>
        </w:rPr>
        <w:t>st</w:t>
      </w:r>
      <w:r w:rsidR="00AE4820">
        <w:rPr>
          <w:rFonts w:ascii="Times New Roman" w:hAnsi="Times New Roman"/>
          <w:b w:val="0"/>
          <w:szCs w:val="22"/>
        </w:rPr>
        <w:t xml:space="preserve"> </w:t>
      </w:r>
      <w:r w:rsidR="00AE4820" w:rsidRPr="00AE4820">
        <w:rPr>
          <w:rFonts w:ascii="Times New Roman" w:hAnsi="Times New Roman"/>
          <w:b w:val="0"/>
          <w:szCs w:val="22"/>
        </w:rPr>
        <w:t>meet</w:t>
      </w:r>
      <w:r w:rsidR="00AE4820">
        <w:rPr>
          <w:rFonts w:ascii="Times New Roman" w:hAnsi="Times New Roman"/>
          <w:b w:val="0"/>
          <w:szCs w:val="22"/>
        </w:rPr>
        <w:t xml:space="preserve">ing, </w:t>
      </w:r>
      <w:r w:rsidR="00AE4820" w:rsidRPr="00AE4820">
        <w:rPr>
          <w:rFonts w:ascii="Times New Roman" w:hAnsi="Times New Roman"/>
          <w:b w:val="0"/>
          <w:szCs w:val="22"/>
        </w:rPr>
        <w:t>the</w:t>
      </w:r>
      <w:r w:rsidR="00AE4820">
        <w:rPr>
          <w:rFonts w:ascii="Times New Roman" w:hAnsi="Times New Roman"/>
          <w:b w:val="0"/>
          <w:szCs w:val="22"/>
        </w:rPr>
        <w:t xml:space="preserve"> IHO</w:t>
      </w:r>
      <w:r w:rsidR="00AE4820" w:rsidRPr="00AE4820">
        <w:rPr>
          <w:rFonts w:ascii="Times New Roman" w:hAnsi="Times New Roman"/>
          <w:b w:val="0"/>
          <w:szCs w:val="22"/>
        </w:rPr>
        <w:t xml:space="preserve"> Council</w:t>
      </w:r>
      <w:r w:rsidR="00856A9E">
        <w:rPr>
          <w:rFonts w:ascii="Times New Roman" w:hAnsi="Times New Roman"/>
          <w:b w:val="0"/>
          <w:szCs w:val="22"/>
        </w:rPr>
        <w:t xml:space="preserve"> (</w:t>
      </w:r>
      <w:r w:rsidR="00300EDA" w:rsidRPr="00300EDA">
        <w:rPr>
          <w:rFonts w:ascii="Times New Roman" w:hAnsi="Times New Roman"/>
          <w:b w:val="0"/>
          <w:szCs w:val="22"/>
        </w:rPr>
        <w:t>Action IHO Council C1/05</w:t>
      </w:r>
      <w:r w:rsidR="00856A9E">
        <w:rPr>
          <w:rFonts w:ascii="Times New Roman" w:hAnsi="Times New Roman"/>
          <w:b w:val="0"/>
          <w:szCs w:val="22"/>
        </w:rPr>
        <w:t>)</w:t>
      </w:r>
      <w:r w:rsidR="00AE4820" w:rsidRPr="00AE4820">
        <w:rPr>
          <w:rFonts w:ascii="Times New Roman" w:hAnsi="Times New Roman"/>
          <w:b w:val="0"/>
          <w:szCs w:val="22"/>
        </w:rPr>
        <w:t xml:space="preserve"> agreed to propose to the Member States to pursue</w:t>
      </w:r>
      <w:r w:rsidR="00856A9E">
        <w:rPr>
          <w:rFonts w:ascii="Times New Roman" w:hAnsi="Times New Roman"/>
          <w:b w:val="0"/>
          <w:szCs w:val="22"/>
        </w:rPr>
        <w:t>,</w:t>
      </w:r>
      <w:r w:rsidR="00AE4820" w:rsidRPr="00AE4820">
        <w:rPr>
          <w:rFonts w:ascii="Times New Roman" w:hAnsi="Times New Roman"/>
          <w:b w:val="0"/>
          <w:szCs w:val="22"/>
        </w:rPr>
        <w:t xml:space="preserve"> until the 2</w:t>
      </w:r>
      <w:r w:rsidR="00AE4820" w:rsidRPr="00856A9E">
        <w:rPr>
          <w:rFonts w:ascii="Times New Roman" w:hAnsi="Times New Roman"/>
          <w:b w:val="0"/>
          <w:szCs w:val="22"/>
          <w:vertAlign w:val="superscript"/>
        </w:rPr>
        <w:t>nd</w:t>
      </w:r>
      <w:r w:rsidR="00856A9E">
        <w:rPr>
          <w:rFonts w:ascii="Times New Roman" w:hAnsi="Times New Roman"/>
          <w:b w:val="0"/>
          <w:szCs w:val="22"/>
        </w:rPr>
        <w:t xml:space="preserve"> </w:t>
      </w:r>
      <w:r w:rsidR="00AE4820" w:rsidRPr="00AE4820">
        <w:rPr>
          <w:rFonts w:ascii="Times New Roman" w:hAnsi="Times New Roman"/>
          <w:b w:val="0"/>
          <w:szCs w:val="22"/>
        </w:rPr>
        <w:t xml:space="preserve">Session of the </w:t>
      </w:r>
      <w:r w:rsidR="00856A9E">
        <w:rPr>
          <w:rFonts w:ascii="Times New Roman" w:hAnsi="Times New Roman"/>
          <w:b w:val="0"/>
          <w:szCs w:val="22"/>
        </w:rPr>
        <w:t>IHO Assembly (A-2), the procedure</w:t>
      </w:r>
      <w:r w:rsidR="00AE4820" w:rsidRPr="00AE4820">
        <w:rPr>
          <w:rFonts w:ascii="Times New Roman" w:hAnsi="Times New Roman"/>
          <w:b w:val="0"/>
          <w:szCs w:val="22"/>
        </w:rPr>
        <w:t xml:space="preserve"> that was in force before the establishment of the Council, for approving the recommendations made by HSSC and IRCC, with the concurrence of HSSC and IRCC Chairs. </w:t>
      </w:r>
      <w:r w:rsidR="00856A9E" w:rsidRPr="00856A9E">
        <w:rPr>
          <w:rFonts w:ascii="Times New Roman" w:hAnsi="Times New Roman"/>
          <w:b w:val="0"/>
          <w:szCs w:val="22"/>
        </w:rPr>
        <w:t>This applies in particular, but is not limited to, the standards and publications listed in</w:t>
      </w:r>
      <w:r w:rsidR="00856A9E">
        <w:rPr>
          <w:rFonts w:ascii="Times New Roman" w:hAnsi="Times New Roman"/>
          <w:b w:val="0"/>
          <w:szCs w:val="22"/>
        </w:rPr>
        <w:t xml:space="preserve"> the </w:t>
      </w:r>
      <w:r w:rsidR="00856A9E" w:rsidRPr="00856A9E">
        <w:rPr>
          <w:rFonts w:ascii="Times New Roman" w:hAnsi="Times New Roman"/>
          <w:b w:val="0"/>
          <w:szCs w:val="22"/>
        </w:rPr>
        <w:t>IHO Resolution 2/2007 as amended</w:t>
      </w:r>
      <w:r w:rsidR="00AE4820" w:rsidRPr="00AE4820">
        <w:rPr>
          <w:rFonts w:ascii="Times New Roman" w:hAnsi="Times New Roman"/>
          <w:b w:val="0"/>
          <w:szCs w:val="22"/>
        </w:rPr>
        <w:t>.</w:t>
      </w:r>
      <w:r w:rsidR="00182B97">
        <w:rPr>
          <w:rFonts w:ascii="Times New Roman" w:hAnsi="Times New Roman"/>
          <w:b w:val="0"/>
          <w:szCs w:val="22"/>
        </w:rPr>
        <w:t xml:space="preserve"> </w:t>
      </w:r>
      <w:r w:rsidR="00AE4820" w:rsidRPr="00AE4820">
        <w:rPr>
          <w:rFonts w:ascii="Times New Roman" w:hAnsi="Times New Roman"/>
          <w:b w:val="0"/>
          <w:szCs w:val="22"/>
        </w:rPr>
        <w:t xml:space="preserve">This proposal was submitted to the IHO Member States and </w:t>
      </w:r>
      <w:r w:rsidR="00856A9E">
        <w:rPr>
          <w:rFonts w:ascii="Times New Roman" w:hAnsi="Times New Roman"/>
          <w:b w:val="0"/>
          <w:szCs w:val="22"/>
        </w:rPr>
        <w:t xml:space="preserve">subsequently </w:t>
      </w:r>
      <w:r w:rsidR="00AE4820" w:rsidRPr="00AE4820">
        <w:rPr>
          <w:rFonts w:ascii="Times New Roman" w:hAnsi="Times New Roman"/>
          <w:b w:val="0"/>
          <w:szCs w:val="22"/>
        </w:rPr>
        <w:t>adopted (IHO CL 15/2018).</w:t>
      </w:r>
    </w:p>
    <w:p w:rsidR="004F5A06" w:rsidRDefault="004F5A06" w:rsidP="0023519C">
      <w:pPr>
        <w:pStyle w:val="Heading2"/>
        <w:jc w:val="both"/>
        <w:rPr>
          <w:rFonts w:ascii="Times New Roman" w:hAnsi="Times New Roman"/>
          <w:szCs w:val="22"/>
        </w:rPr>
      </w:pPr>
      <w:r w:rsidRPr="00CF26D3">
        <w:rPr>
          <w:rFonts w:ascii="Times New Roman" w:hAnsi="Times New Roman"/>
          <w:szCs w:val="22"/>
        </w:rPr>
        <w:t>Analysis/Discussion</w:t>
      </w:r>
    </w:p>
    <w:p w:rsidR="00300EDA" w:rsidRPr="00300EDA" w:rsidRDefault="0023519C" w:rsidP="00A810B5">
      <w:pPr>
        <w:pStyle w:val="Heading2"/>
        <w:jc w:val="both"/>
      </w:pPr>
      <w:r>
        <w:rPr>
          <w:rFonts w:ascii="Times New Roman" w:hAnsi="Times New Roman"/>
          <w:b w:val="0"/>
          <w:szCs w:val="22"/>
        </w:rPr>
        <w:t>2.</w:t>
      </w:r>
      <w:r>
        <w:rPr>
          <w:rFonts w:ascii="Times New Roman" w:hAnsi="Times New Roman"/>
          <w:b w:val="0"/>
          <w:szCs w:val="22"/>
        </w:rPr>
        <w:tab/>
      </w:r>
      <w:r w:rsidR="00A810B5">
        <w:rPr>
          <w:rFonts w:ascii="Times New Roman" w:hAnsi="Times New Roman"/>
          <w:b w:val="0"/>
          <w:szCs w:val="22"/>
        </w:rPr>
        <w:t xml:space="preserve">In accordance with </w:t>
      </w:r>
      <w:r w:rsidR="00A810B5" w:rsidRPr="00300EDA">
        <w:rPr>
          <w:rFonts w:ascii="Times New Roman" w:hAnsi="Times New Roman"/>
          <w:b w:val="0"/>
          <w:szCs w:val="22"/>
        </w:rPr>
        <w:t>Action IHO Council C1/05</w:t>
      </w:r>
      <w:r w:rsidR="00A810B5">
        <w:rPr>
          <w:rFonts w:ascii="Times New Roman" w:hAnsi="Times New Roman"/>
          <w:b w:val="0"/>
          <w:szCs w:val="22"/>
        </w:rPr>
        <w:t xml:space="preserve"> and </w:t>
      </w:r>
      <w:r w:rsidR="00A810B5" w:rsidRPr="00AE4820">
        <w:rPr>
          <w:rFonts w:ascii="Times New Roman" w:hAnsi="Times New Roman"/>
          <w:b w:val="0"/>
          <w:szCs w:val="22"/>
        </w:rPr>
        <w:t>the</w:t>
      </w:r>
      <w:r w:rsidR="00A810B5">
        <w:rPr>
          <w:rFonts w:ascii="Times New Roman" w:hAnsi="Times New Roman"/>
          <w:b w:val="0"/>
          <w:szCs w:val="22"/>
        </w:rPr>
        <w:t xml:space="preserve"> approval of</w:t>
      </w:r>
      <w:r w:rsidR="00A810B5" w:rsidRPr="00AE4820">
        <w:rPr>
          <w:rFonts w:ascii="Times New Roman" w:hAnsi="Times New Roman"/>
          <w:b w:val="0"/>
          <w:szCs w:val="22"/>
        </w:rPr>
        <w:t xml:space="preserve"> IHO Member States (IHO CL 15/2018)</w:t>
      </w:r>
      <w:r w:rsidR="00EA50E6">
        <w:rPr>
          <w:rFonts w:ascii="Times New Roman" w:hAnsi="Times New Roman"/>
          <w:b w:val="0"/>
          <w:szCs w:val="22"/>
        </w:rPr>
        <w:t>, the IRCC</w:t>
      </w:r>
      <w:r>
        <w:rPr>
          <w:rFonts w:ascii="Times New Roman" w:hAnsi="Times New Roman"/>
          <w:b w:val="0"/>
          <w:szCs w:val="22"/>
        </w:rPr>
        <w:t xml:space="preserve"> review</w:t>
      </w:r>
      <w:r w:rsidR="00EA50E6">
        <w:rPr>
          <w:rFonts w:ascii="Times New Roman" w:hAnsi="Times New Roman"/>
          <w:b w:val="0"/>
          <w:szCs w:val="22"/>
        </w:rPr>
        <w:t>ed</w:t>
      </w:r>
      <w:r w:rsidR="00A810B5">
        <w:rPr>
          <w:rFonts w:ascii="Times New Roman" w:hAnsi="Times New Roman"/>
          <w:b w:val="0"/>
          <w:szCs w:val="22"/>
        </w:rPr>
        <w:t xml:space="preserve"> its </w:t>
      </w:r>
      <w:proofErr w:type="spellStart"/>
      <w:r w:rsidR="0035756A">
        <w:rPr>
          <w:rFonts w:ascii="Times New Roman" w:hAnsi="Times New Roman"/>
          <w:b w:val="0"/>
          <w:szCs w:val="22"/>
        </w:rPr>
        <w:t>ToRs</w:t>
      </w:r>
      <w:proofErr w:type="spellEnd"/>
      <w:r w:rsidR="00EA50E6">
        <w:rPr>
          <w:rFonts w:ascii="Times New Roman" w:hAnsi="Times New Roman"/>
          <w:b w:val="0"/>
          <w:szCs w:val="22"/>
        </w:rPr>
        <w:t xml:space="preserve"> and </w:t>
      </w:r>
      <w:proofErr w:type="spellStart"/>
      <w:r w:rsidR="00EA50E6">
        <w:rPr>
          <w:rFonts w:ascii="Times New Roman" w:hAnsi="Times New Roman"/>
          <w:b w:val="0"/>
          <w:szCs w:val="22"/>
        </w:rPr>
        <w:t>RoP</w:t>
      </w:r>
      <w:r w:rsidR="0035756A">
        <w:rPr>
          <w:rFonts w:ascii="Times New Roman" w:hAnsi="Times New Roman"/>
          <w:b w:val="0"/>
          <w:szCs w:val="22"/>
        </w:rPr>
        <w:t>s</w:t>
      </w:r>
      <w:proofErr w:type="spellEnd"/>
      <w:r w:rsidR="00EA50E6">
        <w:rPr>
          <w:rFonts w:ascii="Times New Roman" w:hAnsi="Times New Roman"/>
          <w:b w:val="0"/>
          <w:szCs w:val="22"/>
        </w:rPr>
        <w:t>,</w:t>
      </w:r>
      <w:r w:rsidR="005A00A6">
        <w:rPr>
          <w:rFonts w:ascii="Times New Roman" w:hAnsi="Times New Roman"/>
          <w:b w:val="0"/>
          <w:szCs w:val="22"/>
        </w:rPr>
        <w:t xml:space="preserve"> considered the strategic aspects of the Council and the role of the Committee and of its Chair in this context</w:t>
      </w:r>
      <w:r w:rsidR="008366A6">
        <w:rPr>
          <w:rFonts w:ascii="Times New Roman" w:hAnsi="Times New Roman"/>
          <w:b w:val="0"/>
          <w:szCs w:val="22"/>
        </w:rPr>
        <w:t>,</w:t>
      </w:r>
      <w:r w:rsidR="008366A6" w:rsidRPr="008366A6">
        <w:t xml:space="preserve"> </w:t>
      </w:r>
      <w:r w:rsidR="008366A6" w:rsidRPr="008366A6">
        <w:rPr>
          <w:rFonts w:ascii="Times New Roman" w:hAnsi="Times New Roman"/>
          <w:b w:val="0"/>
          <w:szCs w:val="22"/>
        </w:rPr>
        <w:t xml:space="preserve">and the IHO Resolution 2/2007 </w:t>
      </w:r>
      <w:r w:rsidR="008366A6" w:rsidRPr="008366A6">
        <w:rPr>
          <w:rFonts w:ascii="Times New Roman" w:hAnsi="Times New Roman"/>
          <w:b w:val="0"/>
          <w:i/>
          <w:szCs w:val="22"/>
        </w:rPr>
        <w:t>Principles and Procedures for making changes to IHO Technical Standards and Specifications</w:t>
      </w:r>
      <w:r w:rsidR="008366A6" w:rsidRPr="008366A6">
        <w:rPr>
          <w:rFonts w:ascii="Times New Roman" w:hAnsi="Times New Roman"/>
          <w:b w:val="0"/>
          <w:szCs w:val="22"/>
        </w:rPr>
        <w:t>.</w:t>
      </w:r>
    </w:p>
    <w:p w:rsidR="004F5A06" w:rsidRPr="00CF26D3" w:rsidRDefault="004F5A06" w:rsidP="0023519C">
      <w:pPr>
        <w:pStyle w:val="Heading2"/>
        <w:rPr>
          <w:rFonts w:ascii="Times New Roman" w:hAnsi="Times New Roman"/>
          <w:szCs w:val="22"/>
        </w:rPr>
      </w:pPr>
      <w:r w:rsidRPr="00CF26D3">
        <w:rPr>
          <w:rFonts w:ascii="Times New Roman" w:hAnsi="Times New Roman"/>
          <w:szCs w:val="22"/>
        </w:rPr>
        <w:t>Conclusions</w:t>
      </w:r>
      <w:r w:rsidR="006E57F1">
        <w:rPr>
          <w:rFonts w:ascii="Times New Roman" w:hAnsi="Times New Roman"/>
          <w:szCs w:val="22"/>
        </w:rPr>
        <w:t xml:space="preserve"> and recommendations</w:t>
      </w:r>
    </w:p>
    <w:p w:rsidR="00182B97" w:rsidRDefault="0023519C" w:rsidP="00182B97">
      <w:pPr>
        <w:pStyle w:val="Heading2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3.</w:t>
      </w:r>
      <w:r>
        <w:rPr>
          <w:rFonts w:ascii="Times New Roman" w:hAnsi="Times New Roman"/>
          <w:b w:val="0"/>
          <w:szCs w:val="22"/>
        </w:rPr>
        <w:tab/>
      </w:r>
      <w:r w:rsidR="00182B97">
        <w:rPr>
          <w:rFonts w:ascii="Times New Roman" w:hAnsi="Times New Roman"/>
          <w:b w:val="0"/>
          <w:szCs w:val="22"/>
        </w:rPr>
        <w:t>The IRCC10 endorsed the draft amendments to</w:t>
      </w:r>
      <w:r w:rsidR="00182B97" w:rsidRPr="00AE4820">
        <w:rPr>
          <w:rFonts w:ascii="Times New Roman" w:hAnsi="Times New Roman"/>
          <w:b w:val="0"/>
          <w:szCs w:val="22"/>
        </w:rPr>
        <w:t xml:space="preserve"> </w:t>
      </w:r>
      <w:r w:rsidR="001261A8">
        <w:rPr>
          <w:rFonts w:ascii="Times New Roman" w:hAnsi="Times New Roman"/>
          <w:b w:val="0"/>
          <w:szCs w:val="22"/>
        </w:rPr>
        <w:t>its Terms of Reference and Rules of Procedure</w:t>
      </w:r>
      <w:r>
        <w:rPr>
          <w:rFonts w:ascii="Times New Roman" w:hAnsi="Times New Roman"/>
          <w:b w:val="0"/>
          <w:szCs w:val="22"/>
        </w:rPr>
        <w:t xml:space="preserve">, and </w:t>
      </w:r>
      <w:r w:rsidR="00182B97">
        <w:rPr>
          <w:rFonts w:ascii="Times New Roman" w:hAnsi="Times New Roman"/>
          <w:b w:val="0"/>
          <w:szCs w:val="22"/>
        </w:rPr>
        <w:t xml:space="preserve">submitted for the consideration of the Council, before submission to A-2. The draft amendments are available in the Appendix to this Annex. </w:t>
      </w:r>
    </w:p>
    <w:p w:rsidR="004F5A06" w:rsidRPr="00CF26D3" w:rsidRDefault="004F5A06" w:rsidP="0023519C">
      <w:pPr>
        <w:pStyle w:val="Heading2"/>
        <w:rPr>
          <w:rFonts w:ascii="Times New Roman" w:hAnsi="Times New Roman"/>
          <w:szCs w:val="22"/>
        </w:rPr>
      </w:pPr>
      <w:r w:rsidRPr="00CF26D3">
        <w:rPr>
          <w:rFonts w:ascii="Times New Roman" w:hAnsi="Times New Roman"/>
          <w:szCs w:val="22"/>
        </w:rPr>
        <w:t>Justifica</w:t>
      </w:r>
      <w:r w:rsidRPr="00CF26D3">
        <w:rPr>
          <w:rFonts w:ascii="Times New Roman" w:hAnsi="Times New Roman"/>
          <w:b w:val="0"/>
          <w:szCs w:val="22"/>
        </w:rPr>
        <w:t>t</w:t>
      </w:r>
      <w:r w:rsidRPr="00CF26D3">
        <w:rPr>
          <w:rFonts w:ascii="Times New Roman" w:hAnsi="Times New Roman"/>
          <w:szCs w:val="22"/>
        </w:rPr>
        <w:t>ion and Impacts</w:t>
      </w:r>
    </w:p>
    <w:p w:rsidR="004F5A06" w:rsidRPr="00CF26D3" w:rsidRDefault="0023519C" w:rsidP="006E57F1">
      <w:pPr>
        <w:pStyle w:val="Heading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 w:val="0"/>
          <w:szCs w:val="22"/>
        </w:rPr>
        <w:t>4.</w:t>
      </w:r>
      <w:r>
        <w:rPr>
          <w:rFonts w:ascii="Times New Roman" w:hAnsi="Times New Roman"/>
          <w:b w:val="0"/>
          <w:szCs w:val="22"/>
        </w:rPr>
        <w:tab/>
      </w:r>
      <w:r w:rsidR="006E57F1" w:rsidRPr="006E57F1">
        <w:rPr>
          <w:rFonts w:ascii="Times New Roman" w:hAnsi="Times New Roman"/>
          <w:b w:val="0"/>
          <w:szCs w:val="22"/>
        </w:rPr>
        <w:t>T</w:t>
      </w:r>
      <w:r w:rsidR="006E57F1">
        <w:rPr>
          <w:rFonts w:ascii="Times New Roman" w:hAnsi="Times New Roman"/>
          <w:b w:val="0"/>
          <w:szCs w:val="22"/>
        </w:rPr>
        <w:t xml:space="preserve">he review of the IRCC </w:t>
      </w:r>
      <w:proofErr w:type="spellStart"/>
      <w:r w:rsidR="0035756A">
        <w:rPr>
          <w:rFonts w:ascii="Times New Roman" w:hAnsi="Times New Roman"/>
          <w:b w:val="0"/>
          <w:szCs w:val="22"/>
        </w:rPr>
        <w:t>ToRs</w:t>
      </w:r>
      <w:proofErr w:type="spellEnd"/>
      <w:r w:rsidR="006E57F1">
        <w:rPr>
          <w:rFonts w:ascii="Times New Roman" w:hAnsi="Times New Roman"/>
          <w:b w:val="0"/>
          <w:szCs w:val="22"/>
        </w:rPr>
        <w:t xml:space="preserve"> </w:t>
      </w:r>
      <w:r w:rsidR="001261A8">
        <w:rPr>
          <w:rFonts w:ascii="Times New Roman" w:hAnsi="Times New Roman"/>
          <w:b w:val="0"/>
          <w:szCs w:val="22"/>
        </w:rPr>
        <w:t xml:space="preserve">and </w:t>
      </w:r>
      <w:proofErr w:type="spellStart"/>
      <w:r w:rsidR="001261A8">
        <w:rPr>
          <w:rFonts w:ascii="Times New Roman" w:hAnsi="Times New Roman"/>
          <w:b w:val="0"/>
          <w:szCs w:val="22"/>
        </w:rPr>
        <w:t>RoP</w:t>
      </w:r>
      <w:r w:rsidR="0035756A">
        <w:rPr>
          <w:rFonts w:ascii="Times New Roman" w:hAnsi="Times New Roman"/>
          <w:b w:val="0"/>
          <w:szCs w:val="22"/>
        </w:rPr>
        <w:t>s</w:t>
      </w:r>
      <w:proofErr w:type="spellEnd"/>
      <w:r w:rsidR="001261A8">
        <w:rPr>
          <w:rFonts w:ascii="Times New Roman" w:hAnsi="Times New Roman"/>
          <w:b w:val="0"/>
          <w:szCs w:val="22"/>
        </w:rPr>
        <w:t xml:space="preserve"> </w:t>
      </w:r>
      <w:r w:rsidR="006E57F1">
        <w:rPr>
          <w:rFonts w:ascii="Times New Roman" w:hAnsi="Times New Roman"/>
          <w:b w:val="0"/>
          <w:szCs w:val="22"/>
        </w:rPr>
        <w:t>is a consequence of the approval of the transient procedure p</w:t>
      </w:r>
      <w:r w:rsidR="00EA50E6">
        <w:rPr>
          <w:rFonts w:ascii="Times New Roman" w:hAnsi="Times New Roman"/>
          <w:b w:val="0"/>
          <w:szCs w:val="22"/>
        </w:rPr>
        <w:t>roposed by the IHO Council and a</w:t>
      </w:r>
      <w:r w:rsidR="006E57F1">
        <w:rPr>
          <w:rFonts w:ascii="Times New Roman" w:hAnsi="Times New Roman"/>
          <w:b w:val="0"/>
          <w:szCs w:val="22"/>
        </w:rPr>
        <w:t>dopted by the IHO Member States</w:t>
      </w:r>
      <w:r w:rsidR="00EA50E6">
        <w:rPr>
          <w:rFonts w:ascii="Times New Roman" w:hAnsi="Times New Roman"/>
          <w:b w:val="0"/>
          <w:szCs w:val="22"/>
        </w:rPr>
        <w:t xml:space="preserve"> (CL 15/2018 refers).</w:t>
      </w:r>
    </w:p>
    <w:p w:rsidR="004F5A06" w:rsidRPr="00CF26D3" w:rsidRDefault="00795CA7" w:rsidP="0023519C">
      <w:pPr>
        <w:pStyle w:val="Heading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Action Required of </w:t>
      </w:r>
      <w:r w:rsidR="00EA50E6">
        <w:rPr>
          <w:rFonts w:ascii="Times New Roman" w:hAnsi="Times New Roman"/>
          <w:szCs w:val="22"/>
        </w:rPr>
        <w:t>the Council</w:t>
      </w:r>
      <w:bookmarkStart w:id="0" w:name="_GoBack"/>
      <w:bookmarkEnd w:id="0"/>
    </w:p>
    <w:p w:rsidR="004F5A06" w:rsidRDefault="0023519C" w:rsidP="0023519C">
      <w:pPr>
        <w:pStyle w:val="Heading2"/>
        <w:jc w:val="both"/>
        <w:rPr>
          <w:rFonts w:ascii="Times New Roman" w:hAnsi="Times New Roman"/>
          <w:b w:val="0"/>
          <w:lang w:eastAsia="en-GB"/>
        </w:rPr>
      </w:pPr>
      <w:r>
        <w:rPr>
          <w:rFonts w:ascii="Times New Roman" w:hAnsi="Times New Roman"/>
          <w:b w:val="0"/>
          <w:lang w:eastAsia="en-GB"/>
        </w:rPr>
        <w:t>5.</w:t>
      </w:r>
      <w:r>
        <w:rPr>
          <w:rFonts w:ascii="Times New Roman" w:hAnsi="Times New Roman"/>
          <w:b w:val="0"/>
          <w:lang w:eastAsia="en-GB"/>
        </w:rPr>
        <w:tab/>
      </w:r>
      <w:r w:rsidR="0035756A" w:rsidRPr="0035756A">
        <w:rPr>
          <w:rFonts w:ascii="Times New Roman" w:hAnsi="Times New Roman"/>
          <w:b w:val="0"/>
          <w:lang w:eastAsia="en-GB"/>
        </w:rPr>
        <w:t>The Council is invited to:</w:t>
      </w:r>
    </w:p>
    <w:p w:rsidR="0035756A" w:rsidRDefault="0023519C" w:rsidP="0023519C">
      <w:pPr>
        <w:pStyle w:val="ListParagraph"/>
        <w:widowControl w:val="0"/>
        <w:spacing w:after="120"/>
      </w:pPr>
      <w:r>
        <w:rPr>
          <w:lang w:val="en-AU"/>
        </w:rPr>
        <w:t xml:space="preserve">a) </w:t>
      </w:r>
      <w:r w:rsidR="004B6EA1">
        <w:rPr>
          <w:lang w:val="en-AU"/>
        </w:rPr>
        <w:t xml:space="preserve">  </w:t>
      </w:r>
      <w:proofErr w:type="gramStart"/>
      <w:r w:rsidR="0035756A">
        <w:rPr>
          <w:lang w:val="en-AU"/>
        </w:rPr>
        <w:t>e</w:t>
      </w:r>
      <w:proofErr w:type="spellStart"/>
      <w:r w:rsidR="0035756A" w:rsidRPr="0035756A">
        <w:t>ndorse</w:t>
      </w:r>
      <w:proofErr w:type="spellEnd"/>
      <w:proofErr w:type="gramEnd"/>
      <w:r w:rsidR="0035756A" w:rsidRPr="0035756A">
        <w:t xml:space="preserve"> the amendments</w:t>
      </w:r>
      <w:r w:rsidR="0035756A" w:rsidRPr="005A7B42">
        <w:t xml:space="preserve"> to the IRCC </w:t>
      </w:r>
      <w:proofErr w:type="spellStart"/>
      <w:r w:rsidR="0035756A">
        <w:t>ToRSs</w:t>
      </w:r>
      <w:proofErr w:type="spellEnd"/>
      <w:r w:rsidR="0035756A">
        <w:t xml:space="preserve"> and </w:t>
      </w:r>
      <w:proofErr w:type="spellStart"/>
      <w:r w:rsidR="0035756A">
        <w:t>Ro</w:t>
      </w:r>
      <w:r w:rsidR="0035756A" w:rsidRPr="005A7B42">
        <w:t>Ps</w:t>
      </w:r>
      <w:proofErr w:type="spellEnd"/>
      <w:r w:rsidR="0035756A" w:rsidRPr="005A7B42">
        <w:t xml:space="preserve"> (</w:t>
      </w:r>
      <w:r w:rsidR="004B6EA1">
        <w:t>Appendix to Annex-A),</w:t>
      </w:r>
    </w:p>
    <w:p w:rsidR="0035756A" w:rsidRPr="005A7B42" w:rsidRDefault="0035756A" w:rsidP="0023519C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contextualSpacing w:val="0"/>
        <w:rPr>
          <w:rFonts w:eastAsia="Times New Roman"/>
          <w:lang w:val="en-AU"/>
        </w:rPr>
      </w:pPr>
      <w:proofErr w:type="gramStart"/>
      <w:r w:rsidRPr="0035756A">
        <w:rPr>
          <w:rFonts w:eastAsia="Times New Roman"/>
          <w:lang w:val="en-AU"/>
        </w:rPr>
        <w:t>take</w:t>
      </w:r>
      <w:proofErr w:type="gramEnd"/>
      <w:r w:rsidRPr="005A7B42">
        <w:rPr>
          <w:rFonts w:eastAsia="Times New Roman"/>
          <w:lang w:val="en-AU"/>
        </w:rPr>
        <w:t xml:space="preserve"> any other action as it may be considered appropriate.</w:t>
      </w:r>
    </w:p>
    <w:p w:rsidR="0035756A" w:rsidRPr="005A7B42" w:rsidRDefault="0035756A" w:rsidP="0035756A">
      <w:pPr>
        <w:pStyle w:val="ListParagraph"/>
        <w:widowControl w:val="0"/>
        <w:spacing w:after="120"/>
      </w:pPr>
    </w:p>
    <w:p w:rsidR="0035756A" w:rsidRPr="0035756A" w:rsidRDefault="0035756A" w:rsidP="0035756A">
      <w:pPr>
        <w:rPr>
          <w:lang w:val="en-GB" w:eastAsia="en-GB"/>
        </w:rPr>
      </w:pPr>
    </w:p>
    <w:sectPr w:rsidR="0035756A" w:rsidRPr="0035756A" w:rsidSect="00795CA7">
      <w:headerReference w:type="defaul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5D" w:rsidRDefault="0099765D">
      <w:r>
        <w:separator/>
      </w:r>
    </w:p>
  </w:endnote>
  <w:endnote w:type="continuationSeparator" w:id="0">
    <w:p w:rsidR="0099765D" w:rsidRDefault="0099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5D" w:rsidRDefault="0099765D">
      <w:r>
        <w:separator/>
      </w:r>
    </w:p>
  </w:footnote>
  <w:footnote w:type="continuationSeparator" w:id="0">
    <w:p w:rsidR="0099765D" w:rsidRDefault="0099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8F" w:rsidRDefault="0018248F" w:rsidP="0018248F">
    <w:pPr>
      <w:pStyle w:val="Header"/>
      <w:jc w:val="right"/>
    </w:pPr>
    <w:r>
      <w:t>ANNEX A</w:t>
    </w:r>
  </w:p>
  <w:p w:rsidR="00795CA7" w:rsidRPr="00E77D4E" w:rsidRDefault="00A0201D" w:rsidP="0018248F">
    <w:pPr>
      <w:pStyle w:val="Header"/>
      <w:jc w:val="right"/>
    </w:pPr>
    <w:proofErr w:type="gramStart"/>
    <w:r>
      <w:t>to</w:t>
    </w:r>
    <w:proofErr w:type="gramEnd"/>
    <w:r>
      <w:t xml:space="preserve"> C2-4</w:t>
    </w:r>
    <w:r w:rsidR="0018248F"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289"/>
    <w:multiLevelType w:val="hybridMultilevel"/>
    <w:tmpl w:val="C4E8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2113C"/>
    <w:multiLevelType w:val="hybridMultilevel"/>
    <w:tmpl w:val="7304CDC2"/>
    <w:lvl w:ilvl="0" w:tplc="763200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A6127"/>
    <w:multiLevelType w:val="hybridMultilevel"/>
    <w:tmpl w:val="99862FF4"/>
    <w:lvl w:ilvl="0" w:tplc="ACFE4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7FD3"/>
    <w:multiLevelType w:val="hybridMultilevel"/>
    <w:tmpl w:val="4DF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339A"/>
    <w:multiLevelType w:val="hybridMultilevel"/>
    <w:tmpl w:val="A4282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5ECB"/>
    <w:multiLevelType w:val="hybridMultilevel"/>
    <w:tmpl w:val="682C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3A74"/>
    <w:multiLevelType w:val="hybridMultilevel"/>
    <w:tmpl w:val="1CD0A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F5695"/>
    <w:multiLevelType w:val="hybridMultilevel"/>
    <w:tmpl w:val="32F8B94C"/>
    <w:lvl w:ilvl="0" w:tplc="04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569569C"/>
    <w:multiLevelType w:val="hybridMultilevel"/>
    <w:tmpl w:val="56AA4D90"/>
    <w:lvl w:ilvl="0" w:tplc="0076E94A">
      <w:start w:val="14"/>
      <w:numFmt w:val="bullet"/>
      <w:lvlText w:val=""/>
      <w:lvlJc w:val="left"/>
      <w:pPr>
        <w:ind w:left="944" w:hanging="46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59E26FBB"/>
    <w:multiLevelType w:val="hybridMultilevel"/>
    <w:tmpl w:val="0E60DDA6"/>
    <w:lvl w:ilvl="0" w:tplc="7CD2EF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E0165D1C">
      <w:start w:val="1"/>
      <w:numFmt w:val="bullet"/>
      <w:lvlText w:val="-"/>
      <w:lvlJc w:val="left"/>
      <w:pPr>
        <w:ind w:left="1592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6A81212F"/>
    <w:multiLevelType w:val="hybridMultilevel"/>
    <w:tmpl w:val="B8FE98C6"/>
    <w:lvl w:ilvl="0" w:tplc="9F3E8332">
      <w:start w:val="12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763106BE"/>
    <w:multiLevelType w:val="hybridMultilevel"/>
    <w:tmpl w:val="8820CF74"/>
    <w:lvl w:ilvl="0" w:tplc="AA84164A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671C9D"/>
    <w:multiLevelType w:val="hybridMultilevel"/>
    <w:tmpl w:val="0614A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6"/>
    <w:rsid w:val="00073FEC"/>
    <w:rsid w:val="000E13C5"/>
    <w:rsid w:val="000E7AFA"/>
    <w:rsid w:val="00102FDA"/>
    <w:rsid w:val="001037F1"/>
    <w:rsid w:val="001261A8"/>
    <w:rsid w:val="0018248F"/>
    <w:rsid w:val="00182B97"/>
    <w:rsid w:val="00184A28"/>
    <w:rsid w:val="001A7C21"/>
    <w:rsid w:val="001B6177"/>
    <w:rsid w:val="00207386"/>
    <w:rsid w:val="0023519C"/>
    <w:rsid w:val="00300EDA"/>
    <w:rsid w:val="00330437"/>
    <w:rsid w:val="00337B54"/>
    <w:rsid w:val="003433FF"/>
    <w:rsid w:val="0035756A"/>
    <w:rsid w:val="003C4771"/>
    <w:rsid w:val="0040082C"/>
    <w:rsid w:val="00400A01"/>
    <w:rsid w:val="00416EF0"/>
    <w:rsid w:val="00435359"/>
    <w:rsid w:val="00442030"/>
    <w:rsid w:val="0045024B"/>
    <w:rsid w:val="00465E50"/>
    <w:rsid w:val="00471D90"/>
    <w:rsid w:val="0048675E"/>
    <w:rsid w:val="004B6EA1"/>
    <w:rsid w:val="004C7C58"/>
    <w:rsid w:val="004F5A06"/>
    <w:rsid w:val="00515C69"/>
    <w:rsid w:val="00527096"/>
    <w:rsid w:val="005331B0"/>
    <w:rsid w:val="005855EC"/>
    <w:rsid w:val="005A00A6"/>
    <w:rsid w:val="0060624C"/>
    <w:rsid w:val="00642AC2"/>
    <w:rsid w:val="00661161"/>
    <w:rsid w:val="006A1759"/>
    <w:rsid w:val="006D42A4"/>
    <w:rsid w:val="006E57F1"/>
    <w:rsid w:val="006F11C2"/>
    <w:rsid w:val="006F11DA"/>
    <w:rsid w:val="00742F1E"/>
    <w:rsid w:val="00757F94"/>
    <w:rsid w:val="00770C0B"/>
    <w:rsid w:val="00780BD8"/>
    <w:rsid w:val="00792BA6"/>
    <w:rsid w:val="007957FB"/>
    <w:rsid w:val="00795CA7"/>
    <w:rsid w:val="007B3BAC"/>
    <w:rsid w:val="007C4ED6"/>
    <w:rsid w:val="007D2093"/>
    <w:rsid w:val="007D52B1"/>
    <w:rsid w:val="007E4A21"/>
    <w:rsid w:val="007F0406"/>
    <w:rsid w:val="008366A6"/>
    <w:rsid w:val="00843437"/>
    <w:rsid w:val="00856A9E"/>
    <w:rsid w:val="00874192"/>
    <w:rsid w:val="00886FAD"/>
    <w:rsid w:val="00892E93"/>
    <w:rsid w:val="00897981"/>
    <w:rsid w:val="008A4A31"/>
    <w:rsid w:val="008D26D0"/>
    <w:rsid w:val="008E1E14"/>
    <w:rsid w:val="00963FAE"/>
    <w:rsid w:val="00993340"/>
    <w:rsid w:val="0099765D"/>
    <w:rsid w:val="009E5003"/>
    <w:rsid w:val="00A0201D"/>
    <w:rsid w:val="00A265E1"/>
    <w:rsid w:val="00A665C5"/>
    <w:rsid w:val="00A719C7"/>
    <w:rsid w:val="00A810B5"/>
    <w:rsid w:val="00A82CB8"/>
    <w:rsid w:val="00AB27CE"/>
    <w:rsid w:val="00AE4820"/>
    <w:rsid w:val="00AE49D2"/>
    <w:rsid w:val="00AF5D6D"/>
    <w:rsid w:val="00B0447D"/>
    <w:rsid w:val="00B457DD"/>
    <w:rsid w:val="00B8628B"/>
    <w:rsid w:val="00B97F21"/>
    <w:rsid w:val="00BA6643"/>
    <w:rsid w:val="00BE5BD6"/>
    <w:rsid w:val="00C15666"/>
    <w:rsid w:val="00C36F60"/>
    <w:rsid w:val="00C604CE"/>
    <w:rsid w:val="00C647A8"/>
    <w:rsid w:val="00C72A66"/>
    <w:rsid w:val="00C77C04"/>
    <w:rsid w:val="00CF26D3"/>
    <w:rsid w:val="00D33030"/>
    <w:rsid w:val="00D34698"/>
    <w:rsid w:val="00D83733"/>
    <w:rsid w:val="00DA5578"/>
    <w:rsid w:val="00DA7A2D"/>
    <w:rsid w:val="00DF4BFA"/>
    <w:rsid w:val="00E67750"/>
    <w:rsid w:val="00E77D4E"/>
    <w:rsid w:val="00E96C6D"/>
    <w:rsid w:val="00EA50E6"/>
    <w:rsid w:val="00ED2E7F"/>
    <w:rsid w:val="00F0384A"/>
    <w:rsid w:val="00F543C9"/>
    <w:rsid w:val="00F57D6E"/>
    <w:rsid w:val="00FC0FEC"/>
    <w:rsid w:val="00FD1F13"/>
    <w:rsid w:val="00FD5FE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A0CC-2636-478C-87B1-2893051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06"/>
    <w:rPr>
      <w:sz w:val="24"/>
      <w:szCs w:val="24"/>
    </w:rPr>
  </w:style>
  <w:style w:type="paragraph" w:styleId="Heading2">
    <w:name w:val="heading 2"/>
    <w:basedOn w:val="Normal"/>
    <w:next w:val="Normal"/>
    <w:qFormat/>
    <w:rsid w:val="004F5A06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A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A06"/>
  </w:style>
  <w:style w:type="paragraph" w:customStyle="1" w:styleId="subpara">
    <w:name w:val="sub para"/>
    <w:basedOn w:val="Normal"/>
    <w:rsid w:val="004F5A06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paragraph" w:styleId="BalloonText">
    <w:name w:val="Balloon Text"/>
    <w:basedOn w:val="Normal"/>
    <w:semiHidden/>
    <w:rsid w:val="00AB2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Hyperlink">
    <w:name w:val="Hyperlink"/>
    <w:rsid w:val="00465E5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F5D6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F26D3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56A"/>
    <w:rPr>
      <w:rFonts w:eastAsia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DDB2-294C-486F-9D35-DCF7EAC8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the Submission of Reports and Proposals for Consideration by HSSC</vt:lpstr>
      <vt:lpstr>Instructions for the Submission of Reports and Proposals for Consideration by HSSC</vt:lpstr>
    </vt:vector>
  </TitlesOfParts>
  <Manager>Robert WARD</Manager>
  <Company>IHB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Submission of Reports and Proposals for Consideration by HSSC</dc:title>
  <dc:subject/>
  <dc:creator>Alberto Costa Neves</dc:creator>
  <cp:keywords/>
  <cp:lastModifiedBy>MI</cp:lastModifiedBy>
  <cp:revision>17</cp:revision>
  <cp:lastPrinted>2007-11-26T07:44:00Z</cp:lastPrinted>
  <dcterms:created xsi:type="dcterms:W3CDTF">2017-05-09T07:09:00Z</dcterms:created>
  <dcterms:modified xsi:type="dcterms:W3CDTF">2018-06-26T21:32:00Z</dcterms:modified>
</cp:coreProperties>
</file>