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CA" w:rsidRPr="000676CA" w:rsidRDefault="00E434F0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Final</w:t>
      </w:r>
      <w:r w:rsidR="00452C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List of Actions</w:t>
      </w:r>
    </w:p>
    <w:p w:rsidR="000676CA" w:rsidRPr="000676CA" w:rsidRDefault="00A8391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th ARHC Meeting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452C74">
        <w:rPr>
          <w:rFonts w:ascii="Times New Roman" w:hAnsi="Times New Roman" w:cs="Times New Roman"/>
          <w:b/>
          <w:sz w:val="28"/>
          <w:szCs w:val="28"/>
          <w:lang w:val="en-US"/>
        </w:rPr>
        <w:t>October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 and 6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7249D7" w:rsidRPr="000676CA" w:rsidRDefault="00A8391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Iqaluit, Nunavut, Canada</w:t>
      </w:r>
    </w:p>
    <w:p w:rsidR="004F57E8" w:rsidRDefault="004F57E8" w:rsidP="00067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938"/>
        <w:gridCol w:w="1701"/>
        <w:gridCol w:w="1989"/>
      </w:tblGrid>
      <w:tr w:rsidR="0038728F" w:rsidRPr="000676CA" w:rsidTr="00AE60AF">
        <w:tc>
          <w:tcPr>
            <w:tcW w:w="1384" w:type="dxa"/>
          </w:tcPr>
          <w:p w:rsidR="0038728F" w:rsidRPr="000676C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 Nr.</w:t>
            </w:r>
          </w:p>
        </w:tc>
        <w:tc>
          <w:tcPr>
            <w:tcW w:w="1134" w:type="dxa"/>
          </w:tcPr>
          <w:p w:rsidR="0038728F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Agenda Item</w:t>
            </w:r>
          </w:p>
        </w:tc>
        <w:tc>
          <w:tcPr>
            <w:tcW w:w="7938" w:type="dxa"/>
          </w:tcPr>
          <w:p w:rsidR="0038728F" w:rsidRPr="000676CA" w:rsidRDefault="0038728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1701" w:type="dxa"/>
          </w:tcPr>
          <w:p w:rsidR="0038728F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Responsible</w:t>
            </w:r>
          </w:p>
          <w:p w:rsidR="0038728F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38728F" w:rsidRPr="000676CA" w:rsidRDefault="0038728F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Deadline/Status</w:t>
            </w:r>
          </w:p>
        </w:tc>
      </w:tr>
      <w:tr w:rsidR="0038728F" w:rsidRPr="00C4697B" w:rsidTr="00AE60AF">
        <w:tc>
          <w:tcPr>
            <w:tcW w:w="1384" w:type="dxa"/>
          </w:tcPr>
          <w:p w:rsidR="0038728F" w:rsidRPr="00AB3B4C" w:rsidRDefault="0038728F" w:rsidP="000676C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4F61">
              <w:rPr>
                <w:lang w:val="en-US"/>
              </w:rPr>
              <w:t>ARHC6-01</w:t>
            </w:r>
          </w:p>
        </w:tc>
        <w:tc>
          <w:tcPr>
            <w:tcW w:w="1134" w:type="dxa"/>
          </w:tcPr>
          <w:p w:rsidR="0038728F" w:rsidRPr="008372C0" w:rsidRDefault="0038728F" w:rsidP="0038728F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:rsidR="0038728F" w:rsidRPr="008372C0" w:rsidRDefault="00224F61" w:rsidP="00AB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  <w:lang w:val="en-US"/>
              </w:rPr>
              <w:t>Member States (</w:t>
            </w:r>
            <w:r w:rsidR="0038728F">
              <w:rPr>
                <w:color w:val="FF0000"/>
              </w:rPr>
              <w:t>MS</w:t>
            </w:r>
            <w:r>
              <w:rPr>
                <w:color w:val="FF0000"/>
                <w:lang w:val="en-US"/>
              </w:rPr>
              <w:t>)</w:t>
            </w:r>
            <w:r w:rsidR="0038728F">
              <w:rPr>
                <w:color w:val="FF0000"/>
              </w:rPr>
              <w:t xml:space="preserve"> are requested/reminded to prepare for the 1</w:t>
            </w:r>
            <w:r w:rsidR="0038728F" w:rsidRPr="00893F98">
              <w:rPr>
                <w:color w:val="FF0000"/>
                <w:vertAlign w:val="superscript"/>
              </w:rPr>
              <w:t>st</w:t>
            </w:r>
            <w:r w:rsidR="0038728F">
              <w:rPr>
                <w:color w:val="FF0000"/>
              </w:rPr>
              <w:t xml:space="preserve"> A</w:t>
            </w:r>
            <w:r w:rsidR="008372C0">
              <w:rPr>
                <w:color w:val="FF0000"/>
              </w:rPr>
              <w:t>ssembly of the IHO (April 2017)</w:t>
            </w:r>
            <w:r w:rsidR="008372C0">
              <w:rPr>
                <w:color w:val="FF0000"/>
                <w:lang w:val="en-US"/>
              </w:rPr>
              <w:t xml:space="preserve">, as soon </w:t>
            </w:r>
            <w:r w:rsidR="00873615">
              <w:rPr>
                <w:color w:val="FF0000"/>
                <w:lang w:val="en-US"/>
              </w:rPr>
              <w:t>as practically possible (ASAPP), in accordance with the deadlines indicated in the Conference/Assembly Circular Letters (CCL/ACL).</w:t>
            </w:r>
          </w:p>
        </w:tc>
        <w:tc>
          <w:tcPr>
            <w:tcW w:w="1701" w:type="dxa"/>
          </w:tcPr>
          <w:p w:rsidR="0038728F" w:rsidRPr="001C576D" w:rsidRDefault="0038728F" w:rsidP="007E22C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728F">
              <w:rPr>
                <w:color w:val="FF0000"/>
              </w:rPr>
              <w:t>All IHO MS</w:t>
            </w:r>
          </w:p>
        </w:tc>
        <w:tc>
          <w:tcPr>
            <w:tcW w:w="1989" w:type="dxa"/>
          </w:tcPr>
          <w:p w:rsidR="0038728F" w:rsidRPr="008372C0" w:rsidRDefault="0038728F" w:rsidP="007E22C1">
            <w:pPr>
              <w:jc w:val="center"/>
              <w:rPr>
                <w:color w:val="FF0000"/>
                <w:lang w:val="en-US"/>
              </w:rPr>
            </w:pPr>
            <w:r w:rsidRPr="0038728F">
              <w:rPr>
                <w:color w:val="FF0000"/>
              </w:rPr>
              <w:t>ASAP</w:t>
            </w:r>
            <w:r w:rsidR="008372C0">
              <w:rPr>
                <w:color w:val="FF0000"/>
                <w:lang w:val="en-US"/>
              </w:rPr>
              <w:t>P</w:t>
            </w:r>
          </w:p>
        </w:tc>
      </w:tr>
      <w:tr w:rsidR="0038728F" w:rsidRPr="00C4697B" w:rsidTr="00AE60AF">
        <w:tc>
          <w:tcPr>
            <w:tcW w:w="1384" w:type="dxa"/>
          </w:tcPr>
          <w:p w:rsidR="0038728F" w:rsidRPr="00224F61" w:rsidRDefault="0038728F" w:rsidP="000676CA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ARHC6-02</w:t>
            </w:r>
          </w:p>
        </w:tc>
        <w:tc>
          <w:tcPr>
            <w:tcW w:w="1134" w:type="dxa"/>
          </w:tcPr>
          <w:p w:rsidR="0038728F" w:rsidRPr="008372C0" w:rsidRDefault="0038728F" w:rsidP="0038728F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:rsidR="0038728F" w:rsidRPr="00663FDE" w:rsidRDefault="0038728F" w:rsidP="00AB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MS asked to review entries to IHO C-55, P-5 (Yearbook), and ECDIS back-up, at least annually.</w:t>
            </w:r>
          </w:p>
        </w:tc>
        <w:tc>
          <w:tcPr>
            <w:tcW w:w="1701" w:type="dxa"/>
          </w:tcPr>
          <w:p w:rsidR="0038728F" w:rsidRDefault="0038728F" w:rsidP="0038728F">
            <w:pPr>
              <w:jc w:val="center"/>
            </w:pPr>
            <w:r w:rsidRPr="00F66CF4">
              <w:rPr>
                <w:color w:val="FF0000"/>
              </w:rPr>
              <w:t>All IHO MS</w:t>
            </w:r>
          </w:p>
        </w:tc>
        <w:tc>
          <w:tcPr>
            <w:tcW w:w="1989" w:type="dxa"/>
          </w:tcPr>
          <w:p w:rsidR="0038728F" w:rsidRPr="0038728F" w:rsidRDefault="0038728F" w:rsidP="007E22C1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Permanent</w:t>
            </w:r>
          </w:p>
        </w:tc>
      </w:tr>
      <w:tr w:rsidR="0038728F" w:rsidRPr="009E33D1" w:rsidTr="00AE60AF">
        <w:tc>
          <w:tcPr>
            <w:tcW w:w="1384" w:type="dxa"/>
          </w:tcPr>
          <w:p w:rsidR="0038728F" w:rsidRPr="00224F61" w:rsidRDefault="0038728F" w:rsidP="00663FDE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ARHC6-03</w:t>
            </w:r>
          </w:p>
        </w:tc>
        <w:tc>
          <w:tcPr>
            <w:tcW w:w="1134" w:type="dxa"/>
          </w:tcPr>
          <w:p w:rsidR="0038728F" w:rsidRPr="008372C0" w:rsidRDefault="0038728F" w:rsidP="0038728F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:rsidR="0038728F" w:rsidRPr="00663FDE" w:rsidRDefault="0038728F" w:rsidP="009E3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7F4">
              <w:rPr>
                <w:color w:val="FF0000"/>
              </w:rPr>
              <w:t>Provide updates to S-11 Part B for INT Region N through the INToGIS tool</w:t>
            </w:r>
            <w:r>
              <w:rPr>
                <w:color w:val="FF0000"/>
              </w:rPr>
              <w:t>, as required</w:t>
            </w:r>
            <w:r w:rsidR="001A0666" w:rsidRPr="002C032E">
              <w:rPr>
                <w:color w:val="FF0000"/>
                <w:lang w:val="en-US"/>
              </w:rPr>
              <w:t xml:space="preserve"> </w:t>
            </w:r>
            <w:r w:rsidR="001A0666">
              <w:rPr>
                <w:color w:val="FF0000"/>
                <w:lang w:val="en-US"/>
              </w:rPr>
              <w:t xml:space="preserve">(Reminder: </w:t>
            </w:r>
            <w:r w:rsidR="00E434F0">
              <w:rPr>
                <w:color w:val="FF0000"/>
                <w:lang w:val="en-US"/>
              </w:rPr>
              <w:t xml:space="preserve">in accordance with IHO CL </w:t>
            </w:r>
            <w:r w:rsidR="00BE0FE3">
              <w:rPr>
                <w:color w:val="FF0000"/>
                <w:lang w:val="en-US"/>
              </w:rPr>
              <w:t>89/20</w:t>
            </w:r>
            <w:r w:rsidR="00E434F0">
              <w:rPr>
                <w:color w:val="FF0000"/>
                <w:lang w:val="en-US"/>
              </w:rPr>
              <w:t>1</w:t>
            </w:r>
            <w:r w:rsidR="00BE0FE3">
              <w:rPr>
                <w:color w:val="FF0000"/>
                <w:lang w:val="en-US"/>
              </w:rPr>
              <w:t xml:space="preserve">5), </w:t>
            </w:r>
            <w:r w:rsidR="001A0666">
              <w:rPr>
                <w:color w:val="FF0000"/>
                <w:lang w:val="en-US"/>
              </w:rPr>
              <w:t>DK and RU are invited to request their ID and password</w:t>
            </w:r>
            <w:r w:rsidR="00BE0FE3">
              <w:rPr>
                <w:color w:val="FF0000"/>
                <w:lang w:val="en-US"/>
              </w:rPr>
              <w:t xml:space="preserve"> to be able to provide these updates)</w:t>
            </w:r>
            <w:r w:rsidR="001A0666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38728F" w:rsidRDefault="0038728F" w:rsidP="0038728F">
            <w:pPr>
              <w:jc w:val="center"/>
            </w:pPr>
            <w:r w:rsidRPr="00F66CF4">
              <w:rPr>
                <w:color w:val="FF0000"/>
              </w:rPr>
              <w:t>All IHO MS</w:t>
            </w:r>
          </w:p>
        </w:tc>
        <w:tc>
          <w:tcPr>
            <w:tcW w:w="1989" w:type="dxa"/>
          </w:tcPr>
          <w:p w:rsidR="0038728F" w:rsidRPr="0038728F" w:rsidRDefault="0038728F" w:rsidP="00FA21AB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Permanent</w:t>
            </w:r>
          </w:p>
        </w:tc>
      </w:tr>
      <w:tr w:rsidR="0038728F" w:rsidRPr="009E33D1" w:rsidTr="00AE60AF">
        <w:tc>
          <w:tcPr>
            <w:tcW w:w="1384" w:type="dxa"/>
          </w:tcPr>
          <w:p w:rsidR="0038728F" w:rsidRPr="00224F61" w:rsidRDefault="0038728F" w:rsidP="009105AE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ARHC6-04</w:t>
            </w:r>
          </w:p>
        </w:tc>
        <w:tc>
          <w:tcPr>
            <w:tcW w:w="1134" w:type="dxa"/>
          </w:tcPr>
          <w:p w:rsidR="0038728F" w:rsidRPr="008372C0" w:rsidRDefault="0038728F" w:rsidP="0038728F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:rsidR="0038728F" w:rsidRPr="00663FDE" w:rsidRDefault="00BE0FE3" w:rsidP="009E3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032E">
              <w:rPr>
                <w:color w:val="FF0000"/>
                <w:lang w:val="en-US"/>
              </w:rPr>
              <w:t xml:space="preserve">ARHC International Charting Coordination WG Chair, </w:t>
            </w:r>
            <w:r w:rsidR="00224F61">
              <w:rPr>
                <w:color w:val="FF0000"/>
              </w:rPr>
              <w:t xml:space="preserve">MS </w:t>
            </w:r>
            <w:r w:rsidR="00224F61">
              <w:rPr>
                <w:color w:val="FF0000"/>
                <w:lang w:val="en-US"/>
              </w:rPr>
              <w:t>and Associate Members (AM) to r</w:t>
            </w:r>
            <w:r w:rsidR="0038728F" w:rsidRPr="005417F4">
              <w:rPr>
                <w:color w:val="FF0000"/>
              </w:rPr>
              <w:t>eport to the IHB on the status and description of the ENC schemes in Region N</w:t>
            </w:r>
            <w:r w:rsidR="00BB493A" w:rsidRPr="002C032E">
              <w:rPr>
                <w:color w:val="FF0000"/>
                <w:lang w:val="en-US"/>
              </w:rPr>
              <w:t>,</w:t>
            </w:r>
            <w:r w:rsidR="00BB493A">
              <w:rPr>
                <w:color w:val="FF0000"/>
                <w:lang w:val="en-US"/>
              </w:rPr>
              <w:t xml:space="preserve"> for UB1, UB2 and UB3 in particular</w:t>
            </w:r>
            <w:r w:rsidR="0038728F"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38728F" w:rsidRPr="00224F61" w:rsidRDefault="0038728F" w:rsidP="0038728F">
            <w:pPr>
              <w:jc w:val="center"/>
              <w:rPr>
                <w:lang w:val="en-US"/>
              </w:rPr>
            </w:pPr>
            <w:r>
              <w:rPr>
                <w:color w:val="FF0000"/>
              </w:rPr>
              <w:t xml:space="preserve">All </w:t>
            </w:r>
            <w:r>
              <w:rPr>
                <w:color w:val="FF0000"/>
                <w:lang w:val="en-US"/>
              </w:rPr>
              <w:t>ARHC</w:t>
            </w:r>
            <w:r w:rsidRPr="00CF1E3A">
              <w:rPr>
                <w:color w:val="FF0000"/>
              </w:rPr>
              <w:t xml:space="preserve"> MS</w:t>
            </w:r>
            <w:r w:rsidR="00224F61">
              <w:rPr>
                <w:color w:val="FF0000"/>
                <w:lang w:val="en-US"/>
              </w:rPr>
              <w:t xml:space="preserve"> and AM / AICCWG</w:t>
            </w:r>
          </w:p>
        </w:tc>
        <w:tc>
          <w:tcPr>
            <w:tcW w:w="1989" w:type="dxa"/>
          </w:tcPr>
          <w:p w:rsidR="0038728F" w:rsidRPr="0038728F" w:rsidRDefault="00224F61" w:rsidP="00FA21AB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Permanent</w:t>
            </w:r>
          </w:p>
        </w:tc>
      </w:tr>
      <w:tr w:rsidR="0038728F" w:rsidRPr="000676CA" w:rsidTr="00AE60AF">
        <w:tc>
          <w:tcPr>
            <w:tcW w:w="1384" w:type="dxa"/>
          </w:tcPr>
          <w:p w:rsidR="0038728F" w:rsidRPr="00224F61" w:rsidRDefault="0038728F" w:rsidP="009105AE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ARHC6-05</w:t>
            </w:r>
          </w:p>
        </w:tc>
        <w:tc>
          <w:tcPr>
            <w:tcW w:w="1134" w:type="dxa"/>
          </w:tcPr>
          <w:p w:rsidR="0038728F" w:rsidRPr="008372C0" w:rsidRDefault="0038728F" w:rsidP="0038728F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:rsidR="0038728F" w:rsidRPr="00663FDE" w:rsidRDefault="0038728F" w:rsidP="00D408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MS that are members of more than one RHC are reminded to respond to IHO CL 46/2016 before November 30</w:t>
            </w:r>
            <w:r w:rsidRPr="0069065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38728F" w:rsidRDefault="0038728F" w:rsidP="0038728F">
            <w:pPr>
              <w:jc w:val="center"/>
            </w:pPr>
            <w:r w:rsidRPr="00CF1E3A">
              <w:rPr>
                <w:color w:val="FF0000"/>
              </w:rPr>
              <w:t>All IHO MS</w:t>
            </w:r>
          </w:p>
        </w:tc>
        <w:tc>
          <w:tcPr>
            <w:tcW w:w="1989" w:type="dxa"/>
          </w:tcPr>
          <w:p w:rsidR="0038728F" w:rsidRPr="0038728F" w:rsidRDefault="0038728F" w:rsidP="00FA21AB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2016-11-30</w:t>
            </w:r>
          </w:p>
        </w:tc>
      </w:tr>
      <w:tr w:rsidR="00D43CB8" w:rsidRPr="000676CA" w:rsidTr="00D43CB8">
        <w:trPr>
          <w:trHeight w:val="658"/>
        </w:trPr>
        <w:tc>
          <w:tcPr>
            <w:tcW w:w="1384" w:type="dxa"/>
          </w:tcPr>
          <w:p w:rsidR="00D43CB8" w:rsidRPr="00224F61" w:rsidRDefault="00D43CB8" w:rsidP="0091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ARHC6-06</w:t>
            </w:r>
          </w:p>
        </w:tc>
        <w:tc>
          <w:tcPr>
            <w:tcW w:w="1134" w:type="dxa"/>
          </w:tcPr>
          <w:p w:rsidR="00D43CB8" w:rsidRDefault="00D43CB8" w:rsidP="009162CD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7938" w:type="dxa"/>
          </w:tcPr>
          <w:p w:rsidR="00D43CB8" w:rsidRPr="00016617" w:rsidRDefault="00D43CB8" w:rsidP="009162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A</w:t>
            </w:r>
            <w:r>
              <w:rPr>
                <w:color w:val="FF0000"/>
                <w:lang w:val="en-US"/>
              </w:rPr>
              <w:t>R</w:t>
            </w:r>
            <w:r w:rsidRPr="002C032E">
              <w:rPr>
                <w:color w:val="FF0000"/>
                <w:lang w:val="en-US"/>
              </w:rPr>
              <w:t xml:space="preserve">HC </w:t>
            </w:r>
            <w:r>
              <w:rPr>
                <w:color w:val="FF0000"/>
              </w:rPr>
              <w:t xml:space="preserve">Chair </w:t>
            </w:r>
            <w:r>
              <w:rPr>
                <w:color w:val="FF0000"/>
                <w:lang w:val="en-US"/>
              </w:rPr>
              <w:t xml:space="preserve">(DK) </w:t>
            </w:r>
            <w:r>
              <w:rPr>
                <w:color w:val="FF0000"/>
              </w:rPr>
              <w:t xml:space="preserve">to </w:t>
            </w:r>
            <w:r w:rsidRPr="002C032E">
              <w:rPr>
                <w:color w:val="FF0000"/>
                <w:lang w:val="en-US"/>
              </w:rPr>
              <w:t>plan with the IHB an</w:t>
            </w:r>
            <w:r>
              <w:rPr>
                <w:color w:val="FF0000"/>
              </w:rPr>
              <w:t xml:space="preserve"> ARHC extraordinary meeting</w:t>
            </w:r>
            <w:r w:rsidRPr="002C032E">
              <w:rPr>
                <w:color w:val="FF0000"/>
                <w:lang w:val="en-US"/>
              </w:rPr>
              <w:t xml:space="preserve"> in the margins of th</w:t>
            </w:r>
            <w:r>
              <w:rPr>
                <w:color w:val="FF0000"/>
                <w:lang w:val="en-US"/>
              </w:rPr>
              <w:t>e 1st Session of the IHO Assembly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D43CB8" w:rsidRPr="00873615" w:rsidRDefault="00D43CB8" w:rsidP="009162C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ARHC Chair</w:t>
            </w:r>
          </w:p>
        </w:tc>
        <w:tc>
          <w:tcPr>
            <w:tcW w:w="1989" w:type="dxa"/>
          </w:tcPr>
          <w:p w:rsidR="00D43CB8" w:rsidRDefault="00D43CB8" w:rsidP="009162C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 accordance with CCL</w:t>
            </w:r>
            <w:r w:rsidR="00164403">
              <w:rPr>
                <w:color w:val="FF0000"/>
                <w:lang w:val="en-US"/>
              </w:rPr>
              <w:t>1</w:t>
            </w:r>
            <w:r>
              <w:rPr>
                <w:color w:val="FF0000"/>
                <w:lang w:val="en-US"/>
              </w:rPr>
              <w:t>/ACL</w:t>
            </w:r>
            <w:r w:rsidR="00164403">
              <w:rPr>
                <w:color w:val="FF0000"/>
                <w:lang w:val="en-US"/>
              </w:rPr>
              <w:t>1, para. 7</w:t>
            </w:r>
            <w:bookmarkStart w:id="0" w:name="_GoBack"/>
            <w:bookmarkEnd w:id="0"/>
          </w:p>
          <w:p w:rsidR="00D43CB8" w:rsidRPr="00873615" w:rsidRDefault="00D43CB8" w:rsidP="009162CD">
            <w:pPr>
              <w:jc w:val="center"/>
              <w:rPr>
                <w:color w:val="FF0000"/>
                <w:lang w:val="en-US"/>
              </w:rPr>
            </w:pPr>
          </w:p>
        </w:tc>
      </w:tr>
      <w:tr w:rsidR="00D43CB8" w:rsidRPr="00C4697B" w:rsidTr="00AE60AF">
        <w:tc>
          <w:tcPr>
            <w:tcW w:w="1384" w:type="dxa"/>
          </w:tcPr>
          <w:p w:rsidR="00D43CB8" w:rsidRPr="00224F61" w:rsidRDefault="00D43CB8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ARHC6-07</w:t>
            </w:r>
          </w:p>
        </w:tc>
        <w:tc>
          <w:tcPr>
            <w:tcW w:w="1134" w:type="dxa"/>
          </w:tcPr>
          <w:p w:rsidR="00D43CB8" w:rsidRPr="008372C0" w:rsidRDefault="00D43CB8" w:rsidP="00224F61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6</w:t>
            </w:r>
          </w:p>
        </w:tc>
        <w:tc>
          <w:tcPr>
            <w:tcW w:w="7938" w:type="dxa"/>
          </w:tcPr>
          <w:p w:rsidR="00D43CB8" w:rsidRPr="00663FDE" w:rsidRDefault="00D43CB8" w:rsidP="00AE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CA to provide ARHC6 participants with link or copy of September 2016 Sea Technology article on Continuous Vertical Datum.</w:t>
            </w:r>
          </w:p>
        </w:tc>
        <w:tc>
          <w:tcPr>
            <w:tcW w:w="1701" w:type="dxa"/>
          </w:tcPr>
          <w:p w:rsidR="00D43CB8" w:rsidRPr="00224F61" w:rsidRDefault="00D43CB8" w:rsidP="00AE4F7F">
            <w:pPr>
              <w:jc w:val="center"/>
              <w:rPr>
                <w:color w:val="FF0000"/>
              </w:rPr>
            </w:pPr>
            <w:r w:rsidRPr="00224F61">
              <w:rPr>
                <w:color w:val="FF0000"/>
              </w:rPr>
              <w:t>CA</w:t>
            </w:r>
          </w:p>
        </w:tc>
        <w:tc>
          <w:tcPr>
            <w:tcW w:w="1989" w:type="dxa"/>
          </w:tcPr>
          <w:p w:rsidR="00D43CB8" w:rsidRPr="001C576D" w:rsidRDefault="00D43CB8" w:rsidP="00AE4F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728F">
              <w:rPr>
                <w:color w:val="FF0000"/>
              </w:rPr>
              <w:t>DONE</w:t>
            </w:r>
          </w:p>
        </w:tc>
      </w:tr>
      <w:tr w:rsidR="00D43CB8" w:rsidRPr="009E33D1" w:rsidTr="00AE60AF">
        <w:tc>
          <w:tcPr>
            <w:tcW w:w="1384" w:type="dxa"/>
          </w:tcPr>
          <w:p w:rsidR="00D43CB8" w:rsidRPr="00224F61" w:rsidRDefault="00D43CB8" w:rsidP="00AE4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ARHC6-08</w:t>
            </w:r>
          </w:p>
        </w:tc>
        <w:tc>
          <w:tcPr>
            <w:tcW w:w="1134" w:type="dxa"/>
          </w:tcPr>
          <w:p w:rsidR="00D43CB8" w:rsidRPr="008372C0" w:rsidRDefault="00D43CB8" w:rsidP="00224F61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6</w:t>
            </w:r>
          </w:p>
        </w:tc>
        <w:tc>
          <w:tcPr>
            <w:tcW w:w="7938" w:type="dxa"/>
          </w:tcPr>
          <w:p w:rsidR="00D43CB8" w:rsidRPr="00663FDE" w:rsidRDefault="00D43CB8" w:rsidP="009E33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NO requested to provide English translation of the executive summary of their Socio-Economic study to ARHC.</w:t>
            </w:r>
          </w:p>
        </w:tc>
        <w:tc>
          <w:tcPr>
            <w:tcW w:w="1701" w:type="dxa"/>
          </w:tcPr>
          <w:p w:rsidR="00D43CB8" w:rsidRPr="00224F61" w:rsidRDefault="00D43CB8" w:rsidP="00AE4F7F">
            <w:pPr>
              <w:jc w:val="center"/>
              <w:rPr>
                <w:color w:val="FF0000"/>
              </w:rPr>
            </w:pPr>
            <w:r w:rsidRPr="00224F61">
              <w:rPr>
                <w:color w:val="FF0000"/>
              </w:rPr>
              <w:t>NO</w:t>
            </w:r>
          </w:p>
        </w:tc>
        <w:tc>
          <w:tcPr>
            <w:tcW w:w="1989" w:type="dxa"/>
          </w:tcPr>
          <w:p w:rsidR="00D43CB8" w:rsidRPr="0038728F" w:rsidRDefault="00D43CB8" w:rsidP="00AE4F7F">
            <w:pPr>
              <w:jc w:val="center"/>
              <w:rPr>
                <w:color w:val="FF0000"/>
              </w:rPr>
            </w:pPr>
            <w:r w:rsidRPr="0038728F">
              <w:rPr>
                <w:color w:val="FF0000"/>
              </w:rPr>
              <w:t>2016-12-31</w:t>
            </w:r>
          </w:p>
        </w:tc>
      </w:tr>
      <w:tr w:rsidR="00D43CB8" w:rsidRPr="00C4697B" w:rsidTr="00AE60AF">
        <w:tc>
          <w:tcPr>
            <w:tcW w:w="1384" w:type="dxa"/>
          </w:tcPr>
          <w:p w:rsidR="00D43CB8" w:rsidRPr="00224F61" w:rsidRDefault="00D43CB8" w:rsidP="0056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ARHC6-09</w:t>
            </w:r>
          </w:p>
        </w:tc>
        <w:tc>
          <w:tcPr>
            <w:tcW w:w="1134" w:type="dxa"/>
          </w:tcPr>
          <w:p w:rsidR="00D43CB8" w:rsidRPr="008372C0" w:rsidRDefault="00D43CB8" w:rsidP="00224F61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9</w:t>
            </w:r>
          </w:p>
        </w:tc>
        <w:tc>
          <w:tcPr>
            <w:tcW w:w="7938" w:type="dxa"/>
          </w:tcPr>
          <w:p w:rsidR="00D43CB8" w:rsidRPr="000676CA" w:rsidRDefault="00D43CB8" w:rsidP="009A4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CA to provide edited version of Annex 5 for final approval of the Members by October 6</w:t>
            </w:r>
            <w:r w:rsidRPr="00C673C0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D43CB8" w:rsidRPr="00224F61" w:rsidRDefault="00D43CB8" w:rsidP="006D50DE">
            <w:pPr>
              <w:jc w:val="center"/>
              <w:rPr>
                <w:color w:val="FF0000"/>
              </w:rPr>
            </w:pPr>
            <w:r w:rsidRPr="00224F61">
              <w:rPr>
                <w:color w:val="FF0000"/>
              </w:rPr>
              <w:t>CA</w:t>
            </w:r>
          </w:p>
        </w:tc>
        <w:tc>
          <w:tcPr>
            <w:tcW w:w="1989" w:type="dxa"/>
          </w:tcPr>
          <w:p w:rsidR="00D43CB8" w:rsidRPr="001C576D" w:rsidRDefault="00D43CB8" w:rsidP="006D50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8728F">
              <w:rPr>
                <w:color w:val="FF0000"/>
              </w:rPr>
              <w:t>DONE</w:t>
            </w:r>
          </w:p>
        </w:tc>
      </w:tr>
      <w:tr w:rsidR="00D43CB8" w:rsidRPr="009A4A44" w:rsidTr="00AE60AF">
        <w:tc>
          <w:tcPr>
            <w:tcW w:w="1384" w:type="dxa"/>
          </w:tcPr>
          <w:p w:rsidR="00D43CB8" w:rsidRPr="00224F61" w:rsidRDefault="00D43CB8" w:rsidP="00565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ARHC6-10</w:t>
            </w:r>
          </w:p>
        </w:tc>
        <w:tc>
          <w:tcPr>
            <w:tcW w:w="1134" w:type="dxa"/>
          </w:tcPr>
          <w:p w:rsidR="00D43CB8" w:rsidRPr="008372C0" w:rsidRDefault="00D43CB8" w:rsidP="00224F61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9</w:t>
            </w:r>
          </w:p>
        </w:tc>
        <w:tc>
          <w:tcPr>
            <w:tcW w:w="7938" w:type="dxa"/>
          </w:tcPr>
          <w:p w:rsidR="00D43CB8" w:rsidRDefault="00D43CB8" w:rsidP="009E4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color w:val="FF0000"/>
                <w:lang w:val="en-US"/>
              </w:rPr>
              <w:t xml:space="preserve">Past </w:t>
            </w:r>
            <w:r>
              <w:rPr>
                <w:color w:val="FF0000"/>
              </w:rPr>
              <w:t xml:space="preserve">Chair/ARHC </w:t>
            </w:r>
            <w:r>
              <w:rPr>
                <w:color w:val="FF0000"/>
                <w:lang w:val="en-US"/>
              </w:rPr>
              <w:t xml:space="preserve">(CA), on behalf of and in liaison with ARHC Chair (DK), </w:t>
            </w:r>
            <w:r>
              <w:rPr>
                <w:color w:val="FF0000"/>
              </w:rPr>
              <w:t>to inform Secretariat/IHB that the Russian Federation will be the ARHC representative to the IHO Council.</w:t>
            </w:r>
          </w:p>
        </w:tc>
        <w:tc>
          <w:tcPr>
            <w:tcW w:w="1701" w:type="dxa"/>
          </w:tcPr>
          <w:p w:rsidR="00D43CB8" w:rsidRPr="00224F61" w:rsidRDefault="00D43CB8" w:rsidP="009E48DB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CA</w:t>
            </w:r>
          </w:p>
        </w:tc>
        <w:tc>
          <w:tcPr>
            <w:tcW w:w="1989" w:type="dxa"/>
          </w:tcPr>
          <w:p w:rsidR="00D43CB8" w:rsidRPr="0038728F" w:rsidRDefault="00D43CB8" w:rsidP="009E48DB">
            <w:pPr>
              <w:jc w:val="center"/>
              <w:rPr>
                <w:color w:val="FF0000"/>
              </w:rPr>
            </w:pPr>
            <w:r w:rsidRPr="0038728F">
              <w:rPr>
                <w:color w:val="FF0000"/>
              </w:rPr>
              <w:t>2017-02-03</w:t>
            </w:r>
          </w:p>
        </w:tc>
      </w:tr>
      <w:tr w:rsidR="00D43CB8" w:rsidRPr="008E1D6A" w:rsidTr="00AE60AF">
        <w:tc>
          <w:tcPr>
            <w:tcW w:w="1384" w:type="dxa"/>
          </w:tcPr>
          <w:p w:rsidR="00D43CB8" w:rsidRPr="00224F61" w:rsidRDefault="00D43CB8" w:rsidP="001715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ARHC6-11</w:t>
            </w:r>
          </w:p>
        </w:tc>
        <w:tc>
          <w:tcPr>
            <w:tcW w:w="1134" w:type="dxa"/>
          </w:tcPr>
          <w:p w:rsidR="00D43CB8" w:rsidRPr="008372C0" w:rsidRDefault="00D43CB8" w:rsidP="00224F61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10</w:t>
            </w:r>
          </w:p>
        </w:tc>
        <w:tc>
          <w:tcPr>
            <w:tcW w:w="7938" w:type="dxa"/>
          </w:tcPr>
          <w:p w:rsidR="00D43CB8" w:rsidRPr="008E1D6A" w:rsidRDefault="00D43CB8" w:rsidP="001715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MS</w:t>
            </w:r>
            <w:r>
              <w:rPr>
                <w:color w:val="FF0000"/>
                <w:lang w:val="en-US"/>
              </w:rPr>
              <w:t xml:space="preserve"> and AM </w:t>
            </w:r>
            <w:r>
              <w:rPr>
                <w:color w:val="FF0000"/>
              </w:rPr>
              <w:t>to review statutes and return to the ARHC Chair by November 15, 2016.</w:t>
            </w:r>
          </w:p>
        </w:tc>
        <w:tc>
          <w:tcPr>
            <w:tcW w:w="1701" w:type="dxa"/>
          </w:tcPr>
          <w:p w:rsidR="00D43CB8" w:rsidRPr="00224F61" w:rsidRDefault="00D43CB8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 xml:space="preserve">All </w:t>
            </w:r>
            <w:r>
              <w:rPr>
                <w:color w:val="FF0000"/>
                <w:lang w:val="en-US"/>
              </w:rPr>
              <w:t>ARHC</w:t>
            </w:r>
            <w:r w:rsidRPr="00CF1E3A">
              <w:rPr>
                <w:color w:val="FF0000"/>
              </w:rPr>
              <w:t xml:space="preserve"> MS</w:t>
            </w:r>
            <w:r>
              <w:rPr>
                <w:color w:val="FF0000"/>
                <w:lang w:val="en-US"/>
              </w:rPr>
              <w:t xml:space="preserve"> and AM</w:t>
            </w:r>
          </w:p>
        </w:tc>
        <w:tc>
          <w:tcPr>
            <w:tcW w:w="1989" w:type="dxa"/>
          </w:tcPr>
          <w:p w:rsidR="00D43CB8" w:rsidRPr="0038728F" w:rsidRDefault="00D43CB8" w:rsidP="0017159A">
            <w:pPr>
              <w:jc w:val="center"/>
              <w:rPr>
                <w:color w:val="FF0000"/>
              </w:rPr>
            </w:pPr>
            <w:r w:rsidRPr="0038728F">
              <w:rPr>
                <w:color w:val="FF0000"/>
              </w:rPr>
              <w:t>2016-11-15</w:t>
            </w:r>
          </w:p>
        </w:tc>
      </w:tr>
      <w:tr w:rsidR="00D43CB8" w:rsidRPr="008E1D6A" w:rsidTr="00AE60AF">
        <w:tc>
          <w:tcPr>
            <w:tcW w:w="1384" w:type="dxa"/>
          </w:tcPr>
          <w:p w:rsidR="00D43CB8" w:rsidRPr="00224F61" w:rsidRDefault="00D43CB8" w:rsidP="001715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ARHC6-11</w:t>
            </w:r>
            <w:r w:rsidRPr="00224F61">
              <w:rPr>
                <w:lang w:val="en-US"/>
              </w:rPr>
              <w:t>.1</w:t>
            </w:r>
          </w:p>
        </w:tc>
        <w:tc>
          <w:tcPr>
            <w:tcW w:w="1134" w:type="dxa"/>
          </w:tcPr>
          <w:p w:rsidR="00D43CB8" w:rsidRPr="008372C0" w:rsidRDefault="00D43CB8" w:rsidP="008372C0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10</w:t>
            </w:r>
          </w:p>
        </w:tc>
        <w:tc>
          <w:tcPr>
            <w:tcW w:w="7938" w:type="dxa"/>
          </w:tcPr>
          <w:p w:rsidR="00D43CB8" w:rsidRDefault="00D43CB8" w:rsidP="008E1D6A">
            <w:pPr>
              <w:rPr>
                <w:color w:val="FF0000"/>
              </w:rPr>
            </w:pPr>
            <w:r>
              <w:rPr>
                <w:color w:val="FF0000"/>
              </w:rPr>
              <w:t xml:space="preserve">c/ARHC </w:t>
            </w:r>
            <w:r>
              <w:rPr>
                <w:color w:val="FF0000"/>
                <w:lang w:val="en-US"/>
              </w:rPr>
              <w:t xml:space="preserve">(DK) </w:t>
            </w:r>
            <w:r>
              <w:rPr>
                <w:color w:val="FF0000"/>
              </w:rPr>
              <w:t>to forward  statutes to MS for signature by November 30, 2016.</w:t>
            </w:r>
          </w:p>
        </w:tc>
        <w:tc>
          <w:tcPr>
            <w:tcW w:w="1701" w:type="dxa"/>
          </w:tcPr>
          <w:p w:rsidR="00D43CB8" w:rsidRDefault="00D43CB8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c/ARHC</w:t>
            </w:r>
          </w:p>
        </w:tc>
        <w:tc>
          <w:tcPr>
            <w:tcW w:w="1989" w:type="dxa"/>
          </w:tcPr>
          <w:p w:rsidR="00D43CB8" w:rsidRPr="0038728F" w:rsidRDefault="00D43CB8" w:rsidP="0017159A">
            <w:pPr>
              <w:jc w:val="center"/>
              <w:rPr>
                <w:color w:val="FF0000"/>
              </w:rPr>
            </w:pPr>
            <w:r w:rsidRPr="0038728F">
              <w:rPr>
                <w:color w:val="FF0000"/>
              </w:rPr>
              <w:t>2016-11-30</w:t>
            </w:r>
          </w:p>
        </w:tc>
      </w:tr>
      <w:tr w:rsidR="00D43CB8" w:rsidRPr="008E1D6A" w:rsidTr="00AE60AF">
        <w:tc>
          <w:tcPr>
            <w:tcW w:w="1384" w:type="dxa"/>
          </w:tcPr>
          <w:p w:rsidR="00D43CB8" w:rsidRPr="00224F61" w:rsidRDefault="00D43CB8" w:rsidP="001715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ARHC6-12</w:t>
            </w:r>
          </w:p>
        </w:tc>
        <w:tc>
          <w:tcPr>
            <w:tcW w:w="1134" w:type="dxa"/>
          </w:tcPr>
          <w:p w:rsidR="00D43CB8" w:rsidRPr="008372C0" w:rsidRDefault="00D43CB8" w:rsidP="008372C0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12</w:t>
            </w:r>
          </w:p>
        </w:tc>
        <w:tc>
          <w:tcPr>
            <w:tcW w:w="7938" w:type="dxa"/>
          </w:tcPr>
          <w:p w:rsidR="00D43CB8" w:rsidRPr="00F57EA1" w:rsidRDefault="00D43CB8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OTWG to provide ARHC7 with a discussion paper on autonomous vehicles</w:t>
            </w:r>
            <w:r>
              <w:rPr>
                <w:color w:val="FF0000"/>
                <w:lang w:val="en-US"/>
              </w:rPr>
              <w:t xml:space="preserve"> vis-à-vis Arctic applications.</w:t>
            </w:r>
          </w:p>
        </w:tc>
        <w:tc>
          <w:tcPr>
            <w:tcW w:w="1701" w:type="dxa"/>
          </w:tcPr>
          <w:p w:rsidR="00D43CB8" w:rsidRPr="008372C0" w:rsidRDefault="00D43CB8" w:rsidP="0017159A">
            <w:pPr>
              <w:jc w:val="center"/>
              <w:rPr>
                <w:color w:val="FF0000"/>
              </w:rPr>
            </w:pPr>
            <w:r w:rsidRPr="008372C0">
              <w:rPr>
                <w:color w:val="FF0000"/>
              </w:rPr>
              <w:t>c/OTWG</w:t>
            </w:r>
          </w:p>
        </w:tc>
        <w:tc>
          <w:tcPr>
            <w:tcW w:w="1989" w:type="dxa"/>
          </w:tcPr>
          <w:p w:rsidR="00D43CB8" w:rsidRPr="008372C0" w:rsidRDefault="00D43CB8" w:rsidP="0017159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ARHC7</w:t>
            </w:r>
          </w:p>
        </w:tc>
      </w:tr>
      <w:tr w:rsidR="00D43CB8" w:rsidRPr="00391534" w:rsidTr="00AE60AF">
        <w:tc>
          <w:tcPr>
            <w:tcW w:w="1384" w:type="dxa"/>
          </w:tcPr>
          <w:p w:rsidR="00D43CB8" w:rsidRPr="00224F61" w:rsidRDefault="00D43CB8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ARHC6-13</w:t>
            </w:r>
          </w:p>
        </w:tc>
        <w:tc>
          <w:tcPr>
            <w:tcW w:w="1134" w:type="dxa"/>
          </w:tcPr>
          <w:p w:rsidR="00D43CB8" w:rsidRPr="008372C0" w:rsidRDefault="00D43CB8" w:rsidP="008372C0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12</w:t>
            </w:r>
          </w:p>
        </w:tc>
        <w:tc>
          <w:tcPr>
            <w:tcW w:w="7938" w:type="dxa"/>
          </w:tcPr>
          <w:p w:rsidR="00D43CB8" w:rsidRPr="00391534" w:rsidRDefault="00D43CB8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OTWG Chair to validate OTWG membership list and update, as necessary.</w:t>
            </w:r>
          </w:p>
        </w:tc>
        <w:tc>
          <w:tcPr>
            <w:tcW w:w="1701" w:type="dxa"/>
          </w:tcPr>
          <w:p w:rsidR="00D43CB8" w:rsidRPr="008372C0" w:rsidRDefault="00D43CB8" w:rsidP="00391534">
            <w:pPr>
              <w:jc w:val="center"/>
              <w:rPr>
                <w:color w:val="FF0000"/>
              </w:rPr>
            </w:pPr>
            <w:r w:rsidRPr="008372C0">
              <w:rPr>
                <w:color w:val="FF0000"/>
              </w:rPr>
              <w:t>c/OTWG</w:t>
            </w:r>
          </w:p>
        </w:tc>
        <w:tc>
          <w:tcPr>
            <w:tcW w:w="1989" w:type="dxa"/>
          </w:tcPr>
          <w:p w:rsidR="00D43CB8" w:rsidRDefault="00D43CB8" w:rsidP="0087361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2017-04-01</w:t>
            </w:r>
          </w:p>
          <w:p w:rsidR="00D43CB8" w:rsidRPr="008372C0" w:rsidRDefault="00D43CB8" w:rsidP="00391534">
            <w:pPr>
              <w:jc w:val="center"/>
              <w:rPr>
                <w:color w:val="FF0000"/>
                <w:lang w:val="en-US"/>
              </w:rPr>
            </w:pPr>
          </w:p>
        </w:tc>
      </w:tr>
      <w:tr w:rsidR="00D43CB8" w:rsidRPr="00FD7370" w:rsidTr="00AE60AF">
        <w:tc>
          <w:tcPr>
            <w:tcW w:w="1384" w:type="dxa"/>
          </w:tcPr>
          <w:p w:rsidR="00D43CB8" w:rsidRPr="00224F61" w:rsidRDefault="00D43CB8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ARHC6-14</w:t>
            </w:r>
          </w:p>
        </w:tc>
        <w:tc>
          <w:tcPr>
            <w:tcW w:w="1134" w:type="dxa"/>
          </w:tcPr>
          <w:p w:rsidR="00D43CB8" w:rsidRPr="008372C0" w:rsidRDefault="00D43CB8" w:rsidP="008372C0">
            <w:pPr>
              <w:jc w:val="center"/>
              <w:rPr>
                <w:lang w:val="en-US"/>
              </w:rPr>
            </w:pPr>
            <w:r w:rsidRPr="008372C0">
              <w:rPr>
                <w:lang w:val="en-US"/>
              </w:rPr>
              <w:t>12</w:t>
            </w:r>
          </w:p>
        </w:tc>
        <w:tc>
          <w:tcPr>
            <w:tcW w:w="7938" w:type="dxa"/>
          </w:tcPr>
          <w:p w:rsidR="00D43CB8" w:rsidRPr="00F57EA1" w:rsidRDefault="00D43CB8" w:rsidP="00016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 xml:space="preserve">OTWG Chair </w:t>
            </w:r>
            <w:r>
              <w:rPr>
                <w:color w:val="FF0000"/>
                <w:lang w:val="en-US"/>
              </w:rPr>
              <w:t xml:space="preserve">(US) </w:t>
            </w:r>
            <w:r>
              <w:rPr>
                <w:color w:val="FF0000"/>
              </w:rPr>
              <w:t>to review ARHC tasking list and other suggestions to determine priorities</w:t>
            </w:r>
            <w:r>
              <w:rPr>
                <w:color w:val="FF0000"/>
                <w:lang w:val="en-US"/>
              </w:rPr>
              <w:t xml:space="preserve"> to update/finalize the OTWG work plan.</w:t>
            </w:r>
          </w:p>
        </w:tc>
        <w:tc>
          <w:tcPr>
            <w:tcW w:w="1701" w:type="dxa"/>
          </w:tcPr>
          <w:p w:rsidR="00D43CB8" w:rsidRPr="008372C0" w:rsidRDefault="00D43CB8" w:rsidP="00016617">
            <w:pPr>
              <w:jc w:val="center"/>
              <w:rPr>
                <w:color w:val="FF0000"/>
              </w:rPr>
            </w:pPr>
            <w:r w:rsidRPr="008372C0">
              <w:rPr>
                <w:color w:val="FF0000"/>
              </w:rPr>
              <w:t>c/OTWG</w:t>
            </w:r>
          </w:p>
        </w:tc>
        <w:tc>
          <w:tcPr>
            <w:tcW w:w="1989" w:type="dxa"/>
          </w:tcPr>
          <w:p w:rsidR="00D43CB8" w:rsidRDefault="00D43CB8" w:rsidP="0087361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2017-04-01</w:t>
            </w:r>
          </w:p>
          <w:p w:rsidR="00D43CB8" w:rsidRPr="0038728F" w:rsidRDefault="00D43CB8" w:rsidP="00016617">
            <w:pPr>
              <w:jc w:val="center"/>
              <w:rPr>
                <w:color w:val="FF0000"/>
              </w:rPr>
            </w:pP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746961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ARHC6-15</w:t>
            </w:r>
          </w:p>
        </w:tc>
        <w:tc>
          <w:tcPr>
            <w:tcW w:w="1134" w:type="dxa"/>
          </w:tcPr>
          <w:p w:rsidR="00D43CB8" w:rsidRPr="008372C0" w:rsidRDefault="00D43CB8" w:rsidP="00837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938" w:type="dxa"/>
          </w:tcPr>
          <w:p w:rsidR="00D43CB8" w:rsidRPr="00016617" w:rsidRDefault="00D43CB8" w:rsidP="00FB6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c/AICCWG to report back to ARHC7 on the re-scoping of the WG to include Arctic nautical charting issues</w:t>
            </w:r>
            <w:r w:rsidRPr="002C032E">
              <w:rPr>
                <w:color w:val="FF0000"/>
                <w:lang w:val="en-US"/>
              </w:rPr>
              <w:t xml:space="preserve"> (INT charts and ENCs)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c/AICCWG</w:t>
            </w:r>
          </w:p>
        </w:tc>
        <w:tc>
          <w:tcPr>
            <w:tcW w:w="1989" w:type="dxa"/>
          </w:tcPr>
          <w:p w:rsidR="00D43CB8" w:rsidRPr="0038728F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ARHC7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746961" w:rsidP="006D5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ARHC6-16</w:t>
            </w:r>
          </w:p>
        </w:tc>
        <w:tc>
          <w:tcPr>
            <w:tcW w:w="1134" w:type="dxa"/>
          </w:tcPr>
          <w:p w:rsidR="00D43CB8" w:rsidRPr="008372C0" w:rsidRDefault="00D43CB8" w:rsidP="006D5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938" w:type="dxa"/>
          </w:tcPr>
          <w:p w:rsidR="00D43CB8" w:rsidRPr="00016617" w:rsidRDefault="00D43CB8" w:rsidP="006D50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CA to as</w:t>
            </w:r>
            <w:r>
              <w:rPr>
                <w:color w:val="FF0000"/>
                <w:lang w:val="en-US"/>
              </w:rPr>
              <w:t>k</w:t>
            </w:r>
            <w:r>
              <w:rPr>
                <w:color w:val="FF0000"/>
              </w:rPr>
              <w:t xml:space="preserve"> Chris Hemmingway (MSDIWG) to adapt NO video on “What is hydrography?” to “What is MSDI?”.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CA</w:t>
            </w:r>
          </w:p>
        </w:tc>
        <w:tc>
          <w:tcPr>
            <w:tcW w:w="1989" w:type="dxa"/>
          </w:tcPr>
          <w:p w:rsidR="00D43CB8" w:rsidRPr="0038728F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2016-11-30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746961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ARHC6-16</w:t>
            </w:r>
            <w:r w:rsidR="00D43CB8" w:rsidRPr="00224F61">
              <w:rPr>
                <w:lang w:val="en-US"/>
              </w:rPr>
              <w:t>.1</w:t>
            </w:r>
          </w:p>
        </w:tc>
        <w:tc>
          <w:tcPr>
            <w:tcW w:w="1134" w:type="dxa"/>
          </w:tcPr>
          <w:p w:rsidR="00D43CB8" w:rsidRPr="008372C0" w:rsidRDefault="00D43CB8" w:rsidP="00837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938" w:type="dxa"/>
          </w:tcPr>
          <w:p w:rsidR="00D43CB8" w:rsidRDefault="00D43CB8" w:rsidP="00FB692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NO to provide contact information </w:t>
            </w:r>
            <w:r>
              <w:rPr>
                <w:color w:val="FF0000"/>
                <w:lang w:val="en-US"/>
              </w:rPr>
              <w:t xml:space="preserve">regarding the video production for “What is hydrography”, </w:t>
            </w:r>
            <w:r>
              <w:rPr>
                <w:color w:val="FF0000"/>
              </w:rPr>
              <w:t>to CA.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NO</w:t>
            </w:r>
          </w:p>
        </w:tc>
        <w:tc>
          <w:tcPr>
            <w:tcW w:w="1989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 w:rsidRPr="008372C0">
              <w:rPr>
                <w:color w:val="FF0000"/>
                <w:lang w:val="en-US"/>
              </w:rPr>
              <w:t>DONE</w:t>
            </w:r>
            <w:r>
              <w:rPr>
                <w:color w:val="FF0000"/>
                <w:lang w:val="en-US"/>
              </w:rPr>
              <w:t xml:space="preserve"> sent via e-mail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746961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ARHC6-17</w:t>
            </w:r>
          </w:p>
        </w:tc>
        <w:tc>
          <w:tcPr>
            <w:tcW w:w="1134" w:type="dxa"/>
          </w:tcPr>
          <w:p w:rsidR="00D43CB8" w:rsidRDefault="00D43CB8" w:rsidP="00873615">
            <w:pPr>
              <w:jc w:val="center"/>
            </w:pPr>
            <w:r w:rsidRPr="005E69EB">
              <w:rPr>
                <w:lang w:val="en-US"/>
              </w:rPr>
              <w:t>15</w:t>
            </w:r>
          </w:p>
        </w:tc>
        <w:tc>
          <w:tcPr>
            <w:tcW w:w="7938" w:type="dxa"/>
          </w:tcPr>
          <w:p w:rsidR="00D43CB8" w:rsidRPr="00016617" w:rsidRDefault="00D43CB8" w:rsidP="00FB6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color w:val="FF0000"/>
              </w:rPr>
              <w:t>A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</w:rPr>
              <w:t xml:space="preserve">MSDIWG Chair </w:t>
            </w:r>
            <w:r>
              <w:rPr>
                <w:color w:val="FF0000"/>
                <w:lang w:val="en-US"/>
              </w:rPr>
              <w:t xml:space="preserve">(US) </w:t>
            </w:r>
            <w:r>
              <w:rPr>
                <w:color w:val="FF0000"/>
              </w:rPr>
              <w:t>to draft a consolidated work plan (using IHO template), to be reviewed at the ARHC extraordinary meeting.</w:t>
            </w:r>
          </w:p>
        </w:tc>
        <w:tc>
          <w:tcPr>
            <w:tcW w:w="1701" w:type="dxa"/>
          </w:tcPr>
          <w:p w:rsidR="00D43CB8" w:rsidRPr="00873615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c/ARMSDIWG</w:t>
            </w:r>
          </w:p>
        </w:tc>
        <w:tc>
          <w:tcPr>
            <w:tcW w:w="1989" w:type="dxa"/>
          </w:tcPr>
          <w:p w:rsidR="00D43CB8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2017-04-01</w:t>
            </w:r>
          </w:p>
          <w:p w:rsidR="00D43CB8" w:rsidRPr="00873615" w:rsidRDefault="00D43CB8" w:rsidP="00AE4F7F">
            <w:pPr>
              <w:jc w:val="center"/>
              <w:rPr>
                <w:color w:val="FF0000"/>
                <w:lang w:val="en-US"/>
              </w:rPr>
            </w:pP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746961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ARHC6-18</w:t>
            </w:r>
          </w:p>
        </w:tc>
        <w:tc>
          <w:tcPr>
            <w:tcW w:w="1134" w:type="dxa"/>
          </w:tcPr>
          <w:p w:rsidR="00D43CB8" w:rsidRDefault="00D43CB8" w:rsidP="00873615">
            <w:pPr>
              <w:jc w:val="center"/>
            </w:pPr>
            <w:r w:rsidRPr="005E69EB">
              <w:rPr>
                <w:lang w:val="en-US"/>
              </w:rPr>
              <w:t>15</w:t>
            </w:r>
          </w:p>
        </w:tc>
        <w:tc>
          <w:tcPr>
            <w:tcW w:w="7938" w:type="dxa"/>
          </w:tcPr>
          <w:p w:rsidR="00D43CB8" w:rsidRPr="00A83914" w:rsidRDefault="00D43CB8" w:rsidP="00A83914">
            <w:pPr>
              <w:spacing w:before="60" w:after="60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All MSs to contact their </w:t>
            </w:r>
            <w:r>
              <w:rPr>
                <w:color w:val="FF0000"/>
                <w:lang w:val="en-US"/>
              </w:rPr>
              <w:t xml:space="preserve">respective </w:t>
            </w:r>
            <w:r>
              <w:rPr>
                <w:color w:val="FF0000"/>
              </w:rPr>
              <w:t>Arctic SDI national representative to promote awareness of the marine component of the SDI and the work of the IHO.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All </w:t>
            </w:r>
            <w:r>
              <w:rPr>
                <w:color w:val="FF0000"/>
                <w:lang w:val="en-US"/>
              </w:rPr>
              <w:t>ARHC</w:t>
            </w:r>
            <w:r w:rsidRPr="00CF1E3A">
              <w:rPr>
                <w:color w:val="FF0000"/>
              </w:rPr>
              <w:t xml:space="preserve"> MS</w:t>
            </w:r>
            <w:r>
              <w:rPr>
                <w:color w:val="FF0000"/>
                <w:lang w:val="en-US"/>
              </w:rPr>
              <w:t xml:space="preserve"> and AM</w:t>
            </w:r>
          </w:p>
        </w:tc>
        <w:tc>
          <w:tcPr>
            <w:tcW w:w="1989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ASAPP</w:t>
            </w:r>
          </w:p>
        </w:tc>
      </w:tr>
      <w:tr w:rsidR="00746961" w:rsidRPr="00FB692F" w:rsidTr="00AE60AF">
        <w:tc>
          <w:tcPr>
            <w:tcW w:w="1384" w:type="dxa"/>
          </w:tcPr>
          <w:p w:rsidR="00746961" w:rsidRDefault="00746961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ARHC6-19</w:t>
            </w:r>
          </w:p>
        </w:tc>
        <w:tc>
          <w:tcPr>
            <w:tcW w:w="1134" w:type="dxa"/>
          </w:tcPr>
          <w:p w:rsidR="00746961" w:rsidRPr="005E69EB" w:rsidRDefault="00746961" w:rsidP="0087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938" w:type="dxa"/>
          </w:tcPr>
          <w:p w:rsidR="00746961" w:rsidRDefault="00746961" w:rsidP="00A83914">
            <w:pPr>
              <w:spacing w:before="60" w:after="60"/>
              <w:rPr>
                <w:color w:val="FF0000"/>
              </w:rPr>
            </w:pPr>
            <w:r w:rsidRPr="00746961">
              <w:rPr>
                <w:color w:val="FF0000"/>
                <w:lang w:val="en-US"/>
              </w:rPr>
              <w:t>All ARHC Members</w:t>
            </w:r>
            <w:r w:rsidRPr="00137BFF">
              <w:rPr>
                <w:color w:val="FF0000"/>
                <w:lang w:val="en-US"/>
              </w:rPr>
              <w:t xml:space="preserve">, Associate Members </w:t>
            </w:r>
            <w:r>
              <w:rPr>
                <w:color w:val="FF0000"/>
                <w:lang w:val="en-US"/>
              </w:rPr>
              <w:t>and</w:t>
            </w:r>
            <w:r w:rsidRPr="00137BFF"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Observers invited to include in their national reports at ARHC7 their progress in capturing traditional knowledge.</w:t>
            </w:r>
          </w:p>
        </w:tc>
        <w:tc>
          <w:tcPr>
            <w:tcW w:w="1701" w:type="dxa"/>
          </w:tcPr>
          <w:p w:rsidR="00746961" w:rsidRPr="00746961" w:rsidRDefault="00746961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All ARHC MS and AM</w:t>
            </w:r>
          </w:p>
        </w:tc>
        <w:tc>
          <w:tcPr>
            <w:tcW w:w="1989" w:type="dxa"/>
          </w:tcPr>
          <w:p w:rsidR="00746961" w:rsidRDefault="00746961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ARHC7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746961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ARHC6-20</w:t>
            </w:r>
          </w:p>
        </w:tc>
        <w:tc>
          <w:tcPr>
            <w:tcW w:w="1134" w:type="dxa"/>
          </w:tcPr>
          <w:p w:rsidR="00D43CB8" w:rsidRPr="008372C0" w:rsidRDefault="00D43CB8" w:rsidP="0087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938" w:type="dxa"/>
          </w:tcPr>
          <w:p w:rsidR="00D43CB8" w:rsidRPr="00873615" w:rsidRDefault="00D43CB8" w:rsidP="00A83914">
            <w:pPr>
              <w:spacing w:before="60" w:after="60"/>
              <w:rPr>
                <w:color w:val="FF0000"/>
                <w:lang w:val="en-US"/>
              </w:rPr>
            </w:pPr>
            <w:r>
              <w:rPr>
                <w:color w:val="FF0000"/>
              </w:rPr>
              <w:t>ARHC to select a new rep for WEND WG</w:t>
            </w:r>
            <w:r>
              <w:rPr>
                <w:color w:val="FF0000"/>
                <w:lang w:val="en-US"/>
              </w:rPr>
              <w:t xml:space="preserve"> (before WENDWG7 31 Jan – 2 Feb 2017). NO to inform MS of the possibility to become ARHC rep to WENDWG.</w:t>
            </w:r>
          </w:p>
        </w:tc>
        <w:tc>
          <w:tcPr>
            <w:tcW w:w="1701" w:type="dxa"/>
          </w:tcPr>
          <w:p w:rsidR="00D43CB8" w:rsidRPr="00873615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NO and </w:t>
            </w:r>
            <w:r>
              <w:rPr>
                <w:color w:val="FF0000"/>
              </w:rPr>
              <w:t xml:space="preserve">All </w:t>
            </w:r>
            <w:r>
              <w:rPr>
                <w:color w:val="FF0000"/>
                <w:lang w:val="en-US"/>
              </w:rPr>
              <w:t>ARHC</w:t>
            </w:r>
            <w:r w:rsidRPr="00CF1E3A">
              <w:rPr>
                <w:color w:val="FF0000"/>
              </w:rPr>
              <w:t xml:space="preserve"> MS</w:t>
            </w:r>
          </w:p>
        </w:tc>
        <w:tc>
          <w:tcPr>
            <w:tcW w:w="1989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2017-01-01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746961" w:rsidP="00663F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ARHC6-21</w:t>
            </w:r>
          </w:p>
        </w:tc>
        <w:tc>
          <w:tcPr>
            <w:tcW w:w="1134" w:type="dxa"/>
          </w:tcPr>
          <w:p w:rsidR="00D43CB8" w:rsidRPr="008372C0" w:rsidRDefault="00D43CB8" w:rsidP="0087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938" w:type="dxa"/>
          </w:tcPr>
          <w:p w:rsidR="00D43CB8" w:rsidRDefault="00D43CB8" w:rsidP="00A8391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c/ARHC to recommend to IRCC that the IRCC decision regarding MIOs be reported to the 1</w:t>
            </w:r>
            <w:r w:rsidRPr="00A62943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IHO Assembly.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c/ARHC</w:t>
            </w:r>
          </w:p>
        </w:tc>
        <w:tc>
          <w:tcPr>
            <w:tcW w:w="1989" w:type="dxa"/>
          </w:tcPr>
          <w:p w:rsidR="00D43CB8" w:rsidRDefault="00D43CB8" w:rsidP="00357B24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2017-04-01</w:t>
            </w:r>
          </w:p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D43CB8" w:rsidP="00663FDE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</w:t>
            </w:r>
            <w:r w:rsidR="00746961">
              <w:rPr>
                <w:lang w:val="en-US"/>
              </w:rPr>
              <w:t>6-22</w:t>
            </w:r>
          </w:p>
        </w:tc>
        <w:tc>
          <w:tcPr>
            <w:tcW w:w="1134" w:type="dxa"/>
          </w:tcPr>
          <w:p w:rsidR="00D43CB8" w:rsidRPr="008372C0" w:rsidRDefault="00D43CB8" w:rsidP="0087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938" w:type="dxa"/>
          </w:tcPr>
          <w:p w:rsidR="00D43CB8" w:rsidRPr="00357B24" w:rsidRDefault="00D43CB8" w:rsidP="00A83914">
            <w:pPr>
              <w:spacing w:before="60" w:after="60"/>
              <w:rPr>
                <w:color w:val="FF0000"/>
                <w:lang w:val="en-US"/>
              </w:rPr>
            </w:pPr>
            <w:r>
              <w:rPr>
                <w:color w:val="FF0000"/>
              </w:rPr>
              <w:t>ARHC6 participants to contact their national A</w:t>
            </w:r>
            <w:proofErr w:type="spellStart"/>
            <w:r>
              <w:rPr>
                <w:color w:val="FF0000"/>
                <w:lang w:val="en-US"/>
              </w:rPr>
              <w:t>rctic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</w:rPr>
              <w:t>C</w:t>
            </w:r>
            <w:proofErr w:type="spellStart"/>
            <w:r>
              <w:rPr>
                <w:color w:val="FF0000"/>
                <w:lang w:val="en-US"/>
              </w:rPr>
              <w:t>ouncil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(AC) </w:t>
            </w:r>
            <w:r>
              <w:rPr>
                <w:color w:val="FF0000"/>
              </w:rPr>
              <w:t xml:space="preserve">reps regarding the </w:t>
            </w:r>
            <w:r>
              <w:rPr>
                <w:color w:val="FF0000"/>
                <w:lang w:val="en-US"/>
              </w:rPr>
              <w:t xml:space="preserve">promotion and support  of </w:t>
            </w:r>
            <w:r>
              <w:rPr>
                <w:color w:val="FF0000"/>
              </w:rPr>
              <w:t xml:space="preserve">IHO’s </w:t>
            </w:r>
            <w:r>
              <w:rPr>
                <w:color w:val="FF0000"/>
                <w:lang w:val="en-US"/>
              </w:rPr>
              <w:t xml:space="preserve">Observer </w:t>
            </w:r>
            <w:r>
              <w:rPr>
                <w:color w:val="FF0000"/>
              </w:rPr>
              <w:t>application</w:t>
            </w:r>
            <w:r>
              <w:rPr>
                <w:color w:val="FF0000"/>
                <w:lang w:val="en-US"/>
              </w:rPr>
              <w:t xml:space="preserve">  (before the 2017 Senior Arctic Official (SAO) meeting).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All </w:t>
            </w:r>
            <w:r>
              <w:rPr>
                <w:color w:val="FF0000"/>
                <w:lang w:val="en-US"/>
              </w:rPr>
              <w:t>ARHC</w:t>
            </w:r>
            <w:r w:rsidRPr="00CF1E3A">
              <w:rPr>
                <w:color w:val="FF0000"/>
              </w:rPr>
              <w:t xml:space="preserve"> MS</w:t>
            </w:r>
            <w:r>
              <w:rPr>
                <w:color w:val="FF0000"/>
                <w:lang w:val="en-US"/>
              </w:rPr>
              <w:t xml:space="preserve"> and AM</w:t>
            </w:r>
          </w:p>
        </w:tc>
        <w:tc>
          <w:tcPr>
            <w:tcW w:w="1989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2017-03-01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D43CB8" w:rsidP="00AB3B4C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</w:t>
            </w:r>
            <w:r w:rsidR="00746961">
              <w:rPr>
                <w:lang w:val="en-US"/>
              </w:rPr>
              <w:t>6-23</w:t>
            </w:r>
          </w:p>
        </w:tc>
        <w:tc>
          <w:tcPr>
            <w:tcW w:w="1134" w:type="dxa"/>
          </w:tcPr>
          <w:p w:rsidR="00D43CB8" w:rsidRDefault="00D43CB8" w:rsidP="00357B24">
            <w:pPr>
              <w:jc w:val="center"/>
            </w:pPr>
            <w:r w:rsidRPr="00747052">
              <w:rPr>
                <w:lang w:val="en-US"/>
              </w:rPr>
              <w:t>17</w:t>
            </w:r>
          </w:p>
        </w:tc>
        <w:tc>
          <w:tcPr>
            <w:tcW w:w="7938" w:type="dxa"/>
          </w:tcPr>
          <w:p w:rsidR="00D43CB8" w:rsidRPr="00AB3B4C" w:rsidRDefault="00D43CB8" w:rsidP="00A83914">
            <w:pPr>
              <w:spacing w:before="60" w:after="60"/>
              <w:rPr>
                <w:color w:val="FF0000"/>
                <w:lang w:val="en-US"/>
              </w:rPr>
            </w:pPr>
            <w:r>
              <w:rPr>
                <w:color w:val="FF0000"/>
              </w:rPr>
              <w:t>c/ARHC To provide feedback to PAME before their next meeting (February 2017).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c/ARHC</w:t>
            </w:r>
          </w:p>
        </w:tc>
        <w:tc>
          <w:tcPr>
            <w:tcW w:w="1989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2017-02-01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D43CB8" w:rsidP="00AB3B4C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</w:t>
            </w:r>
            <w:r w:rsidR="00746961">
              <w:rPr>
                <w:lang w:val="en-US"/>
              </w:rPr>
              <w:t>6-24</w:t>
            </w:r>
          </w:p>
        </w:tc>
        <w:tc>
          <w:tcPr>
            <w:tcW w:w="1134" w:type="dxa"/>
          </w:tcPr>
          <w:p w:rsidR="00D43CB8" w:rsidRDefault="00D43CB8" w:rsidP="00357B24">
            <w:pPr>
              <w:jc w:val="center"/>
            </w:pPr>
            <w:r w:rsidRPr="00747052">
              <w:rPr>
                <w:lang w:val="en-US"/>
              </w:rPr>
              <w:t>17</w:t>
            </w:r>
          </w:p>
        </w:tc>
        <w:tc>
          <w:tcPr>
            <w:tcW w:w="7938" w:type="dxa"/>
          </w:tcPr>
          <w:p w:rsidR="00D43CB8" w:rsidRPr="00AB3B4C" w:rsidRDefault="00D43CB8" w:rsidP="00A83914">
            <w:pPr>
              <w:spacing w:before="60" w:after="60"/>
              <w:rPr>
                <w:color w:val="FF0000"/>
                <w:lang w:val="en-US"/>
              </w:rPr>
            </w:pPr>
            <w:r>
              <w:rPr>
                <w:color w:val="FF0000"/>
              </w:rPr>
              <w:t>c/ARHC to determine best way to continue engagement at AC (that is, with which group(s) and establish points of contact.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c/ARHC</w:t>
            </w:r>
          </w:p>
        </w:tc>
        <w:tc>
          <w:tcPr>
            <w:tcW w:w="1989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2017-02-01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D43CB8" w:rsidP="00AB3B4C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</w:t>
            </w:r>
            <w:r w:rsidR="00746961">
              <w:rPr>
                <w:lang w:val="en-US"/>
              </w:rPr>
              <w:t>6-25</w:t>
            </w:r>
          </w:p>
        </w:tc>
        <w:tc>
          <w:tcPr>
            <w:tcW w:w="1134" w:type="dxa"/>
          </w:tcPr>
          <w:p w:rsidR="00D43CB8" w:rsidRPr="008372C0" w:rsidRDefault="00D43CB8" w:rsidP="0087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938" w:type="dxa"/>
          </w:tcPr>
          <w:p w:rsidR="00D43CB8" w:rsidRDefault="00D43CB8" w:rsidP="00A8391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c/ARMSDIWG to prepare a white paper on Arctic MSDI for the next AC meeting.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c/ARMSDIWG</w:t>
            </w:r>
          </w:p>
        </w:tc>
        <w:tc>
          <w:tcPr>
            <w:tcW w:w="1989" w:type="dxa"/>
          </w:tcPr>
          <w:p w:rsidR="00D43CB8" w:rsidRPr="008372C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2017-03-01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D43CB8" w:rsidP="00AB3B4C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</w:t>
            </w:r>
            <w:r w:rsidR="00746961">
              <w:rPr>
                <w:lang w:val="en-US"/>
              </w:rPr>
              <w:t>6-26</w:t>
            </w:r>
          </w:p>
        </w:tc>
        <w:tc>
          <w:tcPr>
            <w:tcW w:w="1134" w:type="dxa"/>
          </w:tcPr>
          <w:p w:rsidR="00D43CB8" w:rsidRPr="008372C0" w:rsidRDefault="00D43CB8" w:rsidP="00837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938" w:type="dxa"/>
          </w:tcPr>
          <w:p w:rsidR="00D43CB8" w:rsidRPr="00AB3B4C" w:rsidRDefault="00D43CB8" w:rsidP="00A8391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 xml:space="preserve">NO to follow-up with its AC rep regarding the possible existence of </w:t>
            </w:r>
            <w:r>
              <w:rPr>
                <w:color w:val="FF0000"/>
                <w:lang w:val="en-US"/>
              </w:rPr>
              <w:t xml:space="preserve"> an Automated Identification System (</w:t>
            </w:r>
            <w:r>
              <w:rPr>
                <w:color w:val="FF0000"/>
              </w:rPr>
              <w:t>AIS</w:t>
            </w:r>
            <w:r>
              <w:rPr>
                <w:color w:val="FF0000"/>
                <w:lang w:val="en-US"/>
              </w:rPr>
              <w:t>)</w:t>
            </w:r>
            <w:r>
              <w:rPr>
                <w:color w:val="FF0000"/>
              </w:rPr>
              <w:t xml:space="preserve"> database maintained by NO for AC.</w:t>
            </w:r>
          </w:p>
        </w:tc>
        <w:tc>
          <w:tcPr>
            <w:tcW w:w="1701" w:type="dxa"/>
          </w:tcPr>
          <w:p w:rsidR="00D43CB8" w:rsidRPr="007F3DB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NO</w:t>
            </w:r>
          </w:p>
        </w:tc>
        <w:tc>
          <w:tcPr>
            <w:tcW w:w="1989" w:type="dxa"/>
          </w:tcPr>
          <w:p w:rsidR="00D43CB8" w:rsidRPr="007F3DB0" w:rsidRDefault="00D43CB8" w:rsidP="00AE4F7F">
            <w:pPr>
              <w:jc w:val="center"/>
              <w:rPr>
                <w:color w:val="FF0000"/>
                <w:lang w:val="en-US"/>
              </w:rPr>
            </w:pPr>
            <w:r w:rsidRPr="007F3DB0">
              <w:rPr>
                <w:color w:val="FF0000"/>
                <w:lang w:val="en-US"/>
              </w:rPr>
              <w:t>ARHC7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D43CB8" w:rsidP="00AB3B4C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</w:t>
            </w:r>
            <w:r w:rsidR="00746961">
              <w:rPr>
                <w:lang w:val="en-US"/>
              </w:rPr>
              <w:t>6-27</w:t>
            </w:r>
          </w:p>
        </w:tc>
        <w:tc>
          <w:tcPr>
            <w:tcW w:w="1134" w:type="dxa"/>
          </w:tcPr>
          <w:p w:rsidR="00D43CB8" w:rsidRPr="007F3DB0" w:rsidRDefault="00D43CB8" w:rsidP="007F3DB0">
            <w:pPr>
              <w:jc w:val="center"/>
              <w:rPr>
                <w:color w:val="FF0000"/>
                <w:lang w:val="en-US"/>
              </w:rPr>
            </w:pPr>
            <w:r w:rsidRPr="007F3DB0">
              <w:rPr>
                <w:lang w:val="en-US"/>
              </w:rPr>
              <w:t>19</w:t>
            </w:r>
          </w:p>
        </w:tc>
        <w:tc>
          <w:tcPr>
            <w:tcW w:w="7938" w:type="dxa"/>
          </w:tcPr>
          <w:p w:rsidR="00D43CB8" w:rsidRDefault="00D43CB8" w:rsidP="00A8391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c/ARMSDIWG to investigate the idea of a pan-Arctic bathy database.</w:t>
            </w:r>
          </w:p>
        </w:tc>
        <w:tc>
          <w:tcPr>
            <w:tcW w:w="1701" w:type="dxa"/>
          </w:tcPr>
          <w:p w:rsidR="00D43CB8" w:rsidRPr="008372C0" w:rsidRDefault="00D43CB8" w:rsidP="00AE4F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c/ARMSDIWG</w:t>
            </w:r>
          </w:p>
        </w:tc>
        <w:tc>
          <w:tcPr>
            <w:tcW w:w="1989" w:type="dxa"/>
          </w:tcPr>
          <w:p w:rsidR="00D43CB8" w:rsidRPr="007F3DB0" w:rsidRDefault="00D43CB8" w:rsidP="00AE4F7F">
            <w:pPr>
              <w:jc w:val="center"/>
              <w:rPr>
                <w:color w:val="FF0000"/>
                <w:lang w:val="en-US"/>
              </w:rPr>
            </w:pPr>
            <w:r w:rsidRPr="007F3DB0">
              <w:rPr>
                <w:color w:val="FF0000"/>
                <w:lang w:val="en-US"/>
              </w:rPr>
              <w:t>ARHC7</w:t>
            </w:r>
          </w:p>
        </w:tc>
      </w:tr>
      <w:tr w:rsidR="00D43CB8" w:rsidRPr="00FB692F" w:rsidTr="00AE60AF">
        <w:tc>
          <w:tcPr>
            <w:tcW w:w="1384" w:type="dxa"/>
          </w:tcPr>
          <w:p w:rsidR="00D43CB8" w:rsidRPr="00224F61" w:rsidRDefault="00D43CB8" w:rsidP="00AB3B4C">
            <w:pPr>
              <w:jc w:val="center"/>
              <w:rPr>
                <w:lang w:val="en-US"/>
              </w:rPr>
            </w:pPr>
            <w:r w:rsidRPr="00224F61">
              <w:rPr>
                <w:lang w:val="en-US"/>
              </w:rPr>
              <w:t>ARHC</w:t>
            </w:r>
            <w:r w:rsidR="00746961">
              <w:rPr>
                <w:lang w:val="en-US"/>
              </w:rPr>
              <w:t>6-28</w:t>
            </w:r>
          </w:p>
        </w:tc>
        <w:tc>
          <w:tcPr>
            <w:tcW w:w="1134" w:type="dxa"/>
          </w:tcPr>
          <w:p w:rsidR="00D43CB8" w:rsidRPr="007F3DB0" w:rsidRDefault="00D43CB8" w:rsidP="007F3DB0">
            <w:pPr>
              <w:jc w:val="center"/>
              <w:rPr>
                <w:color w:val="FF0000"/>
                <w:lang w:val="en-US"/>
              </w:rPr>
            </w:pPr>
            <w:r w:rsidRPr="007F3DB0">
              <w:rPr>
                <w:lang w:val="en-US"/>
              </w:rPr>
              <w:t>22</w:t>
            </w:r>
          </w:p>
        </w:tc>
        <w:tc>
          <w:tcPr>
            <w:tcW w:w="7938" w:type="dxa"/>
          </w:tcPr>
          <w:p w:rsidR="00D43CB8" w:rsidRDefault="00D43CB8" w:rsidP="00A8391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CA to draft</w:t>
            </w:r>
            <w:r>
              <w:rPr>
                <w:color w:val="FF0000"/>
                <w:lang w:val="en-US"/>
              </w:rPr>
              <w:t xml:space="preserve"> and circulate</w:t>
            </w:r>
            <w:r>
              <w:rPr>
                <w:color w:val="FF0000"/>
              </w:rPr>
              <w:t xml:space="preserve"> a short document on navigational risks in the Arctic.</w:t>
            </w:r>
          </w:p>
        </w:tc>
        <w:tc>
          <w:tcPr>
            <w:tcW w:w="1701" w:type="dxa"/>
          </w:tcPr>
          <w:p w:rsidR="00D43CB8" w:rsidRPr="007F3DB0" w:rsidRDefault="00D43CB8" w:rsidP="00AE4F7F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CA</w:t>
            </w:r>
          </w:p>
        </w:tc>
        <w:tc>
          <w:tcPr>
            <w:tcW w:w="1989" w:type="dxa"/>
          </w:tcPr>
          <w:p w:rsidR="00D43CB8" w:rsidRDefault="00D43CB8" w:rsidP="007F3DB0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2017-04-01</w:t>
            </w:r>
          </w:p>
          <w:p w:rsidR="00D43CB8" w:rsidRPr="007F3DB0" w:rsidRDefault="00D43CB8" w:rsidP="00AE4F7F">
            <w:pPr>
              <w:jc w:val="center"/>
              <w:rPr>
                <w:color w:val="FF0000"/>
                <w:lang w:val="en-US"/>
              </w:rPr>
            </w:pPr>
          </w:p>
        </w:tc>
      </w:tr>
    </w:tbl>
    <w:p w:rsidR="004F57E8" w:rsidRPr="004F57E8" w:rsidRDefault="004F57E8" w:rsidP="009B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57E8" w:rsidRPr="004F57E8" w:rsidSect="000676CA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C1" w:rsidRDefault="00A777C1" w:rsidP="000F3DC4">
      <w:pPr>
        <w:spacing w:after="0" w:line="240" w:lineRule="auto"/>
      </w:pPr>
      <w:r>
        <w:separator/>
      </w:r>
    </w:p>
  </w:endnote>
  <w:endnote w:type="continuationSeparator" w:id="0">
    <w:p w:rsidR="00A777C1" w:rsidRDefault="00A777C1" w:rsidP="000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C1" w:rsidRDefault="00A777C1" w:rsidP="000F3DC4">
      <w:pPr>
        <w:spacing w:after="0" w:line="240" w:lineRule="auto"/>
      </w:pPr>
      <w:r>
        <w:separator/>
      </w:r>
    </w:p>
  </w:footnote>
  <w:footnote w:type="continuationSeparator" w:id="0">
    <w:p w:rsidR="00A777C1" w:rsidRDefault="00A777C1" w:rsidP="000F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843"/>
      <w:gridCol w:w="11198"/>
    </w:tblGrid>
    <w:tr w:rsidR="0042676B" w:rsidRPr="004F57E8" w:rsidTr="00663FDE">
      <w:trPr>
        <w:trHeight w:val="1940"/>
      </w:trPr>
      <w:tc>
        <w:tcPr>
          <w:tcW w:w="1526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198" w:type="dxa"/>
        </w:tcPr>
        <w:p w:rsidR="0042676B" w:rsidRPr="004F57E8" w:rsidRDefault="0042676B" w:rsidP="00663FDE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ARHC</w:t>
          </w:r>
          <w:r w:rsidR="00A83914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6</w:t>
          </w:r>
          <w:r w:rsidR="000676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63FDE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List of Actions</w:t>
          </w:r>
        </w:p>
      </w:tc>
    </w:tr>
  </w:tbl>
  <w:p w:rsidR="000F3DC4" w:rsidRPr="000F3DC4" w:rsidRDefault="000F3DC4" w:rsidP="000F3DC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4BBF"/>
    <w:multiLevelType w:val="hybridMultilevel"/>
    <w:tmpl w:val="378E915C"/>
    <w:lvl w:ilvl="0" w:tplc="FF983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4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0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C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2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8"/>
    <w:rsid w:val="00016617"/>
    <w:rsid w:val="000638F2"/>
    <w:rsid w:val="000676CA"/>
    <w:rsid w:val="000831E7"/>
    <w:rsid w:val="000F3DC4"/>
    <w:rsid w:val="0013211C"/>
    <w:rsid w:val="00137BFF"/>
    <w:rsid w:val="00164403"/>
    <w:rsid w:val="001A0666"/>
    <w:rsid w:val="001B3B5D"/>
    <w:rsid w:val="001C576D"/>
    <w:rsid w:val="001F5E79"/>
    <w:rsid w:val="00224F61"/>
    <w:rsid w:val="00264272"/>
    <w:rsid w:val="002918E4"/>
    <w:rsid w:val="002C032E"/>
    <w:rsid w:val="002C0784"/>
    <w:rsid w:val="0030054F"/>
    <w:rsid w:val="003347CC"/>
    <w:rsid w:val="00357B24"/>
    <w:rsid w:val="0038728F"/>
    <w:rsid w:val="00391534"/>
    <w:rsid w:val="004136A0"/>
    <w:rsid w:val="0042676B"/>
    <w:rsid w:val="00452C74"/>
    <w:rsid w:val="00492DC7"/>
    <w:rsid w:val="004D1369"/>
    <w:rsid w:val="004F57E8"/>
    <w:rsid w:val="00555D0F"/>
    <w:rsid w:val="0056534A"/>
    <w:rsid w:val="005761C5"/>
    <w:rsid w:val="005A7F30"/>
    <w:rsid w:val="005C47ED"/>
    <w:rsid w:val="005E6B45"/>
    <w:rsid w:val="005F1E8E"/>
    <w:rsid w:val="005F6A9C"/>
    <w:rsid w:val="00663FDE"/>
    <w:rsid w:val="006D625C"/>
    <w:rsid w:val="007249D7"/>
    <w:rsid w:val="00746961"/>
    <w:rsid w:val="007E22C1"/>
    <w:rsid w:val="007F3DB0"/>
    <w:rsid w:val="008037A2"/>
    <w:rsid w:val="008372C0"/>
    <w:rsid w:val="00873615"/>
    <w:rsid w:val="008E1D6A"/>
    <w:rsid w:val="009105AE"/>
    <w:rsid w:val="009112E8"/>
    <w:rsid w:val="00932869"/>
    <w:rsid w:val="009361BC"/>
    <w:rsid w:val="009559ED"/>
    <w:rsid w:val="00982EB0"/>
    <w:rsid w:val="009952AC"/>
    <w:rsid w:val="009A4A44"/>
    <w:rsid w:val="009B602B"/>
    <w:rsid w:val="009E33D1"/>
    <w:rsid w:val="009E48DB"/>
    <w:rsid w:val="009F0485"/>
    <w:rsid w:val="00A23BA4"/>
    <w:rsid w:val="00A400CF"/>
    <w:rsid w:val="00A47B01"/>
    <w:rsid w:val="00A777C1"/>
    <w:rsid w:val="00A81323"/>
    <w:rsid w:val="00A83914"/>
    <w:rsid w:val="00AB07EB"/>
    <w:rsid w:val="00AB3B4C"/>
    <w:rsid w:val="00AE4F7F"/>
    <w:rsid w:val="00AE60AF"/>
    <w:rsid w:val="00B65833"/>
    <w:rsid w:val="00BB493A"/>
    <w:rsid w:val="00BE0FE3"/>
    <w:rsid w:val="00C4697B"/>
    <w:rsid w:val="00C844EB"/>
    <w:rsid w:val="00D4085C"/>
    <w:rsid w:val="00D43CB8"/>
    <w:rsid w:val="00D46CBD"/>
    <w:rsid w:val="00DA2F86"/>
    <w:rsid w:val="00E216FB"/>
    <w:rsid w:val="00E24CC4"/>
    <w:rsid w:val="00E434F0"/>
    <w:rsid w:val="00E62B18"/>
    <w:rsid w:val="00EB5BD2"/>
    <w:rsid w:val="00EF49C6"/>
    <w:rsid w:val="00F408B6"/>
    <w:rsid w:val="00F47FDA"/>
    <w:rsid w:val="00F57EA1"/>
    <w:rsid w:val="00FA21AB"/>
    <w:rsid w:val="00FB3DBB"/>
    <w:rsid w:val="00FB692F"/>
    <w:rsid w:val="00FD420D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A0300-A15E-4AE0-9651-CBB6D83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4"/>
  </w:style>
  <w:style w:type="paragraph" w:styleId="Footer">
    <w:name w:val="footer"/>
    <w:basedOn w:val="Normal"/>
    <w:link w:val="Foot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4"/>
  </w:style>
  <w:style w:type="paragraph" w:styleId="BalloonText">
    <w:name w:val="Balloon Text"/>
    <w:basedOn w:val="Normal"/>
    <w:link w:val="BalloonTextChar"/>
    <w:uiPriority w:val="99"/>
    <w:semiHidden/>
    <w:unhideWhenUsed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66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НОКО</dc:creator>
  <cp:lastModifiedBy>Yves</cp:lastModifiedBy>
  <cp:revision>4</cp:revision>
  <dcterms:created xsi:type="dcterms:W3CDTF">2016-11-07T08:07:00Z</dcterms:created>
  <dcterms:modified xsi:type="dcterms:W3CDTF">2016-11-07T08:13:00Z</dcterms:modified>
</cp:coreProperties>
</file>