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2" w:rsidRPr="00ED676D" w:rsidRDefault="00ED5022" w:rsidP="00ED5022">
      <w:pPr>
        <w:jc w:val="right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Adjunto MACHC CL-06-2019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COMISIÓN HIDROGRAFICA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MAR CARIBE Y MESO AMERICA (MACHC)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Marco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respuesta ante desastres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FF0000"/>
          <w:szCs w:val="24"/>
          <w:lang w:val="es-CO"/>
        </w:rPr>
        <w:t>(Versión 27/11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FF0000"/>
          <w:szCs w:val="24"/>
          <w:lang w:val="es-CO"/>
        </w:rPr>
        <w:t>/ 2018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)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Referencias: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     Resolución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1/2005 de 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OHI,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según enmendada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                     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Resolución 2/1997 de la OHI, según enmendada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                     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Estatutos de la MACHC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1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Introducción</w:t>
      </w:r>
    </w:p>
    <w:p w:rsidR="00ED5022" w:rsidRPr="00ED676D" w:rsidRDefault="00ED5022" w:rsidP="00ED5022">
      <w:pPr>
        <w:ind w:left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Este plan apunta a preparar 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MACHC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para responder a desastres de acuerdo con la     Referencia.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Esto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hará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en dos pasos:</w:t>
      </w:r>
    </w:p>
    <w:p w:rsidR="00ED5022" w:rsidRPr="00ED676D" w:rsidRDefault="00ED5022" w:rsidP="00ED5022">
      <w:pPr>
        <w:ind w:left="717" w:hanging="36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a)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Actividades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preparación;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y</w:t>
      </w:r>
    </w:p>
    <w:p w:rsidR="00ED5022" w:rsidRPr="00ED676D" w:rsidRDefault="00ED5022" w:rsidP="00ED5022">
      <w:pPr>
        <w:ind w:left="717" w:hanging="36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b)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Implementación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actividades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luego de un desastre.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Estos dos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grupos de actividades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describen 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continuación.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2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Preparación del Marco de Contingencia por los Estados costeros de la MACHC:</w:t>
      </w:r>
    </w:p>
    <w:p w:rsidR="00ED5022" w:rsidRPr="00ED5022" w:rsidRDefault="00ED5022" w:rsidP="00ED5022">
      <w:pPr>
        <w:pStyle w:val="Prrafodelista"/>
        <w:numPr>
          <w:ilvl w:val="1"/>
          <w:numId w:val="2"/>
        </w:numPr>
        <w:tabs>
          <w:tab w:val="clear" w:pos="1440"/>
        </w:tabs>
        <w:ind w:left="1548" w:hanging="468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Informar al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Presidente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MACHC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acerca de los p</w:t>
      </w:r>
      <w:r w:rsidRPr="00ED5022">
        <w:rPr>
          <w:rFonts w:eastAsia="Times New Roman" w:cs="Times New Roman"/>
          <w:color w:val="000000"/>
          <w:szCs w:val="27"/>
          <w:lang w:val="es-CO"/>
        </w:rPr>
        <w:t>untos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contacto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y los medios de comunicación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(se debe prestar atención a proporcionar medios alternativos de comunicación en caso de que el país no tiene acceso telefónico y correo electrónicos.</w:t>
      </w:r>
    </w:p>
    <w:p w:rsidR="00ED5022" w:rsidRPr="00ED5022" w:rsidRDefault="00ED5022" w:rsidP="00ED5022">
      <w:pPr>
        <w:pStyle w:val="Prrafodelista"/>
        <w:numPr>
          <w:ilvl w:val="2"/>
          <w:numId w:val="2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Punto de Contacto Senior</w:t>
      </w:r>
    </w:p>
    <w:p w:rsidR="00ED5022" w:rsidRPr="00ED676D" w:rsidRDefault="00ED5022" w:rsidP="00ED5022">
      <w:pPr>
        <w:pStyle w:val="Prrafodelista"/>
        <w:numPr>
          <w:ilvl w:val="2"/>
          <w:numId w:val="2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Punto de contacto de trabajo</w:t>
      </w:r>
    </w:p>
    <w:p w:rsidR="00ED5022" w:rsidRPr="00ED5022" w:rsidRDefault="00ED5022" w:rsidP="00ED5022">
      <w:pPr>
        <w:pStyle w:val="Prrafodelista"/>
        <w:numPr>
          <w:ilvl w:val="2"/>
          <w:numId w:val="2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Medios de comunicación</w:t>
      </w:r>
    </w:p>
    <w:p w:rsidR="00ED5022" w:rsidRPr="00ED5022" w:rsidRDefault="00ED5022" w:rsidP="00ED5022">
      <w:pPr>
        <w:pStyle w:val="Prrafodelista"/>
        <w:ind w:left="2160"/>
        <w:jc w:val="both"/>
        <w:rPr>
          <w:rFonts w:eastAsia="Times New Roman" w:cs="Times New Roman"/>
          <w:color w:val="000000"/>
          <w:szCs w:val="24"/>
          <w:lang w:val="es-CO"/>
        </w:rPr>
      </w:pPr>
    </w:p>
    <w:p w:rsidR="00ED5022" w:rsidRPr="00ED5022" w:rsidRDefault="00ED5022" w:rsidP="00ED5022">
      <w:pPr>
        <w:pStyle w:val="Prrafodelista"/>
        <w:numPr>
          <w:ilvl w:val="1"/>
          <w:numId w:val="2"/>
        </w:numPr>
        <w:tabs>
          <w:tab w:val="clear" w:pos="1440"/>
        </w:tabs>
        <w:ind w:left="1548" w:hanging="468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Preparar y mantener actualizado con el Presidente de la MACHC una lista de verificación de la infraestructura clave para evaluar si están intactos o necesitan alguna acción urgente.</w:t>
      </w: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En el Anexo A se proporciona una plantilla genérica</w:t>
      </w:r>
    </w:p>
    <w:p w:rsidR="00ED5022" w:rsidRPr="00ED5022" w:rsidRDefault="00ED5022" w:rsidP="00ED5022">
      <w:pPr>
        <w:pStyle w:val="Prrafodelista"/>
        <w:ind w:left="1548"/>
        <w:jc w:val="both"/>
        <w:rPr>
          <w:rFonts w:eastAsia="Times New Roman" w:cs="Times New Roman"/>
          <w:color w:val="000000"/>
          <w:szCs w:val="24"/>
          <w:lang w:val="es-CO"/>
        </w:rPr>
      </w:pPr>
    </w:p>
    <w:p w:rsidR="00ED5022" w:rsidRPr="00ED5022" w:rsidRDefault="00ED5022" w:rsidP="00ED5022">
      <w:pPr>
        <w:pStyle w:val="Prrafodelista"/>
        <w:numPr>
          <w:ilvl w:val="1"/>
          <w:numId w:val="2"/>
        </w:numPr>
        <w:tabs>
          <w:tab w:val="clear" w:pos="1440"/>
        </w:tabs>
        <w:ind w:left="1548" w:hanging="468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Preparar y mantener actualizado un Plan Nacional de Comunicación que identifique a las partes interesadas que deberán contactarse para obtener / pasar información relevante.</w:t>
      </w: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Considere el uso de medios de comunicación alternativos, como comunicaciones por radio o WhatsApp, si el correo electrónico</w:t>
      </w: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no es accesible.</w:t>
      </w:r>
    </w:p>
    <w:p w:rsidR="00ED5022" w:rsidRPr="00ED5022" w:rsidRDefault="00ED5022" w:rsidP="00ED5022">
      <w:pPr>
        <w:pStyle w:val="Prrafodelista"/>
        <w:rPr>
          <w:rFonts w:eastAsia="Times New Roman" w:cs="Times New Roman"/>
          <w:color w:val="000000"/>
          <w:szCs w:val="24"/>
          <w:lang w:val="es-CO"/>
        </w:rPr>
      </w:pPr>
    </w:p>
    <w:p w:rsidR="00ED5022" w:rsidRPr="00ED5022" w:rsidRDefault="00ED5022" w:rsidP="00ED5022">
      <w:pPr>
        <w:pStyle w:val="Prrafodelista"/>
        <w:numPr>
          <w:ilvl w:val="1"/>
          <w:numId w:val="2"/>
        </w:numPr>
        <w:tabs>
          <w:tab w:val="clear" w:pos="1440"/>
        </w:tabs>
        <w:ind w:left="1548" w:hanging="468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Identificar contactos apropiados en el Ministerio nacional de asuntos exteriores para facilitar las solicitudes de ayuda a través de canales diplomáticos</w:t>
      </w:r>
    </w:p>
    <w:p w:rsidR="00ED5022" w:rsidRPr="00ED5022" w:rsidRDefault="00ED5022" w:rsidP="00ED5022">
      <w:pPr>
        <w:pStyle w:val="Prrafodelista"/>
        <w:ind w:left="2160"/>
        <w:jc w:val="both"/>
        <w:rPr>
          <w:rFonts w:eastAsia="Times New Roman" w:cs="Times New Roman"/>
          <w:color w:val="000000"/>
          <w:szCs w:val="24"/>
          <w:lang w:val="es-CO"/>
        </w:rPr>
      </w:pP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</w:t>
      </w: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lastRenderedPageBreak/>
        <w:t> </w:t>
      </w:r>
    </w:p>
    <w:p w:rsidR="00ED5022" w:rsidRPr="00ED676D" w:rsidRDefault="00ED5022" w:rsidP="00ED5022">
      <w:pPr>
        <w:numPr>
          <w:ilvl w:val="0"/>
          <w:numId w:val="3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Preparación de un SIG para apoyar la coordinación.</w:t>
      </w:r>
    </w:p>
    <w:p w:rsidR="00ED5022" w:rsidRPr="00ED676D" w:rsidRDefault="00ED5022" w:rsidP="00ED5022">
      <w:pPr>
        <w:ind w:firstLine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Un documento GIS que representa los esfuerzos hidrográficos para ayudar al Presidente en su función de coordinación.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Por ejemplo, la capa podría indicar los puertos y rutas afectados, el despliegue de equipos de encuestas, imágenes de soporte, estado de MSI, resultados de imágenes analizadas, rutas recomendadas para buques humanitarios, etc.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Dicho sistema tiene el potencial de evitar duplicaciones y asegurar el establecimiento de las prioridades por parte de los gobiernos que brindan apoyo.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La presidencia buscará apoyo al establecimiento y mantenimiento del SIG.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5022" w:rsidRDefault="00ED5022" w:rsidP="00ED5022">
      <w:pPr>
        <w:numPr>
          <w:ilvl w:val="0"/>
          <w:numId w:val="4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Preparación del Plan de Contingencia por la Presidenta MACHC:</w:t>
      </w:r>
    </w:p>
    <w:p w:rsidR="00ED5022" w:rsidRPr="00ED5022" w:rsidRDefault="00ED5022" w:rsidP="00ED5022">
      <w:pPr>
        <w:pStyle w:val="Prrafodelista"/>
        <w:numPr>
          <w:ilvl w:val="0"/>
          <w:numId w:val="9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Compilar la información provista en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2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y preparar un Plan de Comunicación basado en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la información provista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(plantilla en el Anexo B).</w:t>
      </w:r>
    </w:p>
    <w:p w:rsidR="00ED5022" w:rsidRPr="00ED5022" w:rsidRDefault="00ED5022" w:rsidP="00ED5022">
      <w:pPr>
        <w:pStyle w:val="Prrafodelista"/>
        <w:numPr>
          <w:ilvl w:val="0"/>
          <w:numId w:val="9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Prepare una lista de (posiblemente) los activos disponibles que los Estados costeros pueden considerar para solicitarlos por vía diplomática a los Estados vecinos.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En 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Anexo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proporciona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una plantilla genérica.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5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Respuesta APLICACIÓN actividades por un Estado ribereño tras un desastre:</w:t>
      </w:r>
    </w:p>
    <w:p w:rsidR="00ED5022" w:rsidRPr="00ED5022" w:rsidRDefault="00ED5022" w:rsidP="00ED5022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Realice 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evaluación inicial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 la infraestructura clave, utilizando la lista de verificación preparada en 2b.</w:t>
      </w:r>
    </w:p>
    <w:p w:rsidR="00ED5022" w:rsidRPr="00ED5022" w:rsidRDefault="00ED5022" w:rsidP="00ED5022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Evalúe los efectos específicos en el envío de la existencia de obstáculos y cualquier cambio en el fondo marino que pueda dificultar la navegación, teniendo en cuenta los efectos de los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obstáculos a 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deriva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que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también pueden dificultar los resultados preliminares del levantamiento.</w:t>
      </w:r>
    </w:p>
    <w:p w:rsidR="00ED5022" w:rsidRPr="00ED5022" w:rsidRDefault="00ED5022" w:rsidP="00ED5022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Prepare un plan de prioridad para el levantamiento y la cartografía para asegurar que 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paso de la asistencia y los suministros a través de los canales y puertos marítimos, y la identificación de nuevos peligros cuando sea necesario</w:t>
      </w:r>
    </w:p>
    <w:p w:rsidR="00ED5022" w:rsidRPr="00ED5022" w:rsidRDefault="00ED5022" w:rsidP="00ED5022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Informar al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Presidente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MACHC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el resultado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la evaluación realizada en 4a, b y c tan pronto como sea posible.</w:t>
      </w:r>
    </w:p>
    <w:p w:rsidR="00ED5022" w:rsidRPr="00ED5022" w:rsidRDefault="00ED5022" w:rsidP="00ED5022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Preparar una lista del apoyo necesario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(3c)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comunica al ministro de asuntos exteriores a través de la cadena de mando.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 fin de garantizar el despacho diplomático oportuno de los activos hidrográficos de otros Estados miembros como parte de la ayuda en caso de desastre.</w:t>
      </w: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La respuesta a un desastre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puede dividirse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en actividades para una respuesta inmediata y una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respuesta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recuperación posterior.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6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Actividades de implementación por parte de la Presidencia MACHC: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Establecer comunicación con el Estado ribereño en desastre para obtener la evaluación inicial (4b)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Tomar las medidas necesarias en coordinación con el Estado ribereño.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lastRenderedPageBreak/>
        <w:t>Prepare un informe de conocimiento de la situación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(plantilla en Anexo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D)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que se difundirá a todos los Estados costeros según lo establecido en el Plan de comunicación.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Difundir actualizaciones según se considere necesario.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Comunicarse con los coordinadores de NAVAREA para asegurar el conocimiento de la situación y que se difunde la información de navegación necesaria.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Enlace con la Secretaría de la OHI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.</w:t>
      </w:r>
    </w:p>
    <w:p w:rsidR="00ED5022" w:rsidRPr="00ED5022" w:rsidRDefault="00ED5022" w:rsidP="00ED5022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Comunicarse con las organizaciones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regionales e internacionales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apropiadas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para coordinar los esfuerzos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,</w:t>
      </w:r>
      <w:r w:rsidRPr="00ED5022">
        <w:rPr>
          <w:rFonts w:eastAsia="Times New Roman" w:cs="Times New Roman"/>
          <w:color w:val="000000"/>
          <w:szCs w:val="24"/>
          <w:lang w:val="es-CO"/>
        </w:rPr>
        <w:t xml:space="preserve"> por ejemplo:</w:t>
      </w:r>
    </w:p>
    <w:p w:rsidR="00ED5022" w:rsidRPr="00ED5022" w:rsidRDefault="00ED5022" w:rsidP="00ED5022">
      <w:pPr>
        <w:pStyle w:val="Prrafodelista"/>
        <w:ind w:left="144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bookmarkStart w:id="0" w:name="_GoBack"/>
      <w:bookmarkEnd w:id="0"/>
    </w:p>
    <w:p w:rsidR="00ED5022" w:rsidRPr="00ED5022" w:rsidRDefault="00ED5022" w:rsidP="00ED5022">
      <w:pPr>
        <w:pStyle w:val="Prrafodelista"/>
        <w:numPr>
          <w:ilvl w:val="1"/>
          <w:numId w:val="11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CDEMA (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hyperlink r:id="rId5" w:history="1">
        <w:r w:rsidRPr="00ED5022">
          <w:rPr>
            <w:rFonts w:eastAsia="Times New Roman" w:cs="Times New Roman"/>
            <w:color w:val="0563C1"/>
            <w:szCs w:val="24"/>
            <w:u w:val="single"/>
            <w:lang w:val="es-CO"/>
          </w:rPr>
          <w:t>http://www.cdema.org</w:t>
        </w:r>
      </w:hyperlink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)</w:t>
      </w:r>
    </w:p>
    <w:p w:rsidR="00ED5022" w:rsidRPr="00ED676D" w:rsidRDefault="00ED5022" w:rsidP="00ED5022">
      <w:pPr>
        <w:pStyle w:val="Prrafodelista"/>
        <w:numPr>
          <w:ilvl w:val="1"/>
          <w:numId w:val="11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RAC-REMPEITC Caribe ( </w:t>
      </w:r>
      <w:hyperlink r:id="rId6" w:history="1">
        <w:r w:rsidRPr="00ED5022">
          <w:rPr>
            <w:rFonts w:eastAsia="Times New Roman" w:cs="Times New Roman"/>
            <w:color w:val="000000"/>
            <w:szCs w:val="24"/>
            <w:lang w:val="es-CO"/>
          </w:rPr>
          <w:t>http://www.racrempeitc.org</w:t>
        </w:r>
      </w:hyperlink>
      <w:r w:rsidRPr="00ED5022">
        <w:rPr>
          <w:rFonts w:eastAsia="Times New Roman" w:cs="Times New Roman"/>
          <w:color w:val="000000"/>
          <w:szCs w:val="24"/>
          <w:lang w:val="es-CO"/>
        </w:rPr>
        <w:t> )</w:t>
      </w:r>
    </w:p>
    <w:p w:rsidR="00ED5022" w:rsidRPr="00ED676D" w:rsidRDefault="00ED5022" w:rsidP="00ED5022">
      <w:pPr>
        <w:pStyle w:val="Prrafodelista"/>
        <w:numPr>
          <w:ilvl w:val="1"/>
          <w:numId w:val="11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IMO ( </w:t>
      </w:r>
      <w:hyperlink r:id="rId7" w:history="1">
        <w:r w:rsidRPr="00ED5022">
          <w:rPr>
            <w:rFonts w:eastAsia="Times New Roman" w:cs="Times New Roman"/>
            <w:color w:val="000000"/>
            <w:szCs w:val="24"/>
            <w:lang w:val="es-CO"/>
          </w:rPr>
          <w:t>http://www.imo.org</w:t>
        </w:r>
      </w:hyperlink>
      <w:r w:rsidRPr="00ED5022">
        <w:rPr>
          <w:rFonts w:eastAsia="Times New Roman" w:cs="Times New Roman"/>
          <w:color w:val="000000"/>
          <w:szCs w:val="24"/>
          <w:lang w:val="es-CO"/>
        </w:rPr>
        <w:t> )</w:t>
      </w:r>
    </w:p>
    <w:p w:rsidR="00ED5022" w:rsidRPr="00ED676D" w:rsidRDefault="00ED5022" w:rsidP="00ED5022">
      <w:pPr>
        <w:pStyle w:val="Prrafodelista"/>
        <w:numPr>
          <w:ilvl w:val="1"/>
          <w:numId w:val="11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IALA ( </w:t>
      </w:r>
      <w:hyperlink r:id="rId8" w:history="1">
        <w:r w:rsidRPr="00ED5022">
          <w:rPr>
            <w:rFonts w:eastAsia="Times New Roman" w:cs="Times New Roman"/>
            <w:color w:val="000000"/>
            <w:szCs w:val="24"/>
            <w:lang w:val="es-CO"/>
          </w:rPr>
          <w:t>http://www.iala-aism.org</w:t>
        </w:r>
      </w:hyperlink>
      <w:r w:rsidRPr="00ED5022">
        <w:rPr>
          <w:rFonts w:eastAsia="Times New Roman" w:cs="Times New Roman"/>
          <w:color w:val="000000"/>
          <w:szCs w:val="24"/>
          <w:lang w:val="es-CO"/>
        </w:rPr>
        <w:t> )</w:t>
      </w:r>
    </w:p>
    <w:p w:rsidR="00ED5022" w:rsidRPr="00ED676D" w:rsidRDefault="00ED5022" w:rsidP="00ED5022">
      <w:pPr>
        <w:pStyle w:val="Prrafodelista"/>
        <w:numPr>
          <w:ilvl w:val="1"/>
          <w:numId w:val="11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proofErr w:type="spellStart"/>
      <w:r w:rsidRPr="00ED5022">
        <w:rPr>
          <w:rFonts w:eastAsia="Times New Roman" w:cs="Times New Roman"/>
          <w:color w:val="000000"/>
          <w:szCs w:val="24"/>
          <w:lang w:val="es-CO"/>
        </w:rPr>
        <w:t>MapAction</w:t>
      </w:r>
      <w:proofErr w:type="spellEnd"/>
      <w:r w:rsidRPr="00ED5022">
        <w:rPr>
          <w:rFonts w:eastAsia="Times New Roman" w:cs="Times New Roman"/>
          <w:color w:val="000000"/>
          <w:szCs w:val="24"/>
          <w:lang w:val="es-CO"/>
        </w:rPr>
        <w:t> ( </w:t>
      </w:r>
      <w:hyperlink r:id="rId9" w:history="1">
        <w:r w:rsidRPr="00ED5022">
          <w:rPr>
            <w:rFonts w:eastAsia="Times New Roman" w:cs="Times New Roman"/>
            <w:color w:val="000000"/>
            <w:szCs w:val="24"/>
            <w:lang w:val="es-CO"/>
          </w:rPr>
          <w:t>http://www.mapaction.org</w:t>
        </w:r>
      </w:hyperlink>
      <w:r w:rsidRPr="00ED5022">
        <w:rPr>
          <w:rFonts w:eastAsia="Times New Roman" w:cs="Times New Roman"/>
          <w:color w:val="000000"/>
          <w:szCs w:val="24"/>
          <w:lang w:val="es-CO"/>
        </w:rPr>
        <w:t> )</w:t>
      </w:r>
    </w:p>
    <w:p w:rsidR="00ED5022" w:rsidRPr="00ED5022" w:rsidRDefault="00ED5022" w:rsidP="00ED5022">
      <w:pPr>
        <w:ind w:left="720"/>
        <w:jc w:val="both"/>
        <w:rPr>
          <w:rFonts w:eastAsia="Times New Roman" w:cs="Times New Roman"/>
          <w:color w:val="000000"/>
          <w:szCs w:val="24"/>
          <w:lang w:val="es-CO"/>
        </w:rPr>
      </w:pPr>
    </w:p>
    <w:p w:rsidR="00ED5022" w:rsidRPr="00ED5022" w:rsidRDefault="00ED5022" w:rsidP="00ED5022">
      <w:pPr>
        <w:ind w:left="72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Consulte el plan de comunicaciones para obtener una lista completa de las organizaciones.</w:t>
      </w:r>
    </w:p>
    <w:p w:rsidR="00ED5022" w:rsidRPr="00ED676D" w:rsidRDefault="00ED5022" w:rsidP="00ED5022">
      <w:pPr>
        <w:ind w:left="72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</w:p>
    <w:p w:rsidR="00ED5022" w:rsidRPr="00ED676D" w:rsidRDefault="00ED5022" w:rsidP="00ED5022">
      <w:pPr>
        <w:ind w:left="1440" w:hanging="452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g).</w:t>
      </w:r>
      <w:r w:rsidRPr="00ED5022">
        <w:rPr>
          <w:rFonts w:eastAsia="Times New Roman" w:cs="Times New Roman"/>
          <w:color w:val="000000"/>
          <w:szCs w:val="24"/>
          <w:lang w:val="es-CO"/>
        </w:rPr>
        <w:tab/>
        <w:t>Decidir, en función de la información recopilada, si una reunión extraordinaria de la MACHC (o videoconferencia)</w:t>
      </w: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Es necesario, con el fin de discutir en detalle los problemas, evaluar el daño y responder a las solicitudes de apoyo.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7"/>
        </w:numPr>
        <w:spacing w:after="120"/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Establecimiento del Marco de Contingencia de la MACHC</w:t>
      </w:r>
    </w:p>
    <w:p w:rsidR="00ED5022" w:rsidRPr="00ED676D" w:rsidRDefault="00ED5022" w:rsidP="00ED5022">
      <w:pPr>
        <w:ind w:firstLine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Marco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Contingencia de 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MACHC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preparará sobre la base de la información provista con los anexos y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aprobado por cada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reunión de la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MACHC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o por correspondencia, según sea necesario, sobre la base de la información provista por los Estados costeros.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El Presidente debe garantizar que se incluya un punto permanente en la agenda de las reuniones de RHC para monitorear la preparación de la Comisión para responder a desastres y realizar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ejercicios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mesa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regulares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para evaluar los procedimientos.</w:t>
      </w:r>
    </w:p>
    <w:p w:rsidR="00ED5022" w:rsidRPr="00ED676D" w:rsidRDefault="00ED5022" w:rsidP="00ED5022">
      <w:pPr>
        <w:ind w:firstLine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numPr>
          <w:ilvl w:val="0"/>
          <w:numId w:val="8"/>
        </w:numPr>
        <w:ind w:left="268" w:firstLine="0"/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Documentos en línea</w:t>
      </w:r>
    </w:p>
    <w:p w:rsidR="00ED5022" w:rsidRPr="00ED676D" w:rsidRDefault="00ED5022" w:rsidP="00ED5022">
      <w:pPr>
        <w:ind w:left="36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ind w:firstLine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Documentos importantes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pondrá 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disposición en línea en el sitio web de la OHI o en el sitio web de la MACHC, según corresponda.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También incluirá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Planes Nacionales de Respuesta,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experiencias y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mejores prácticas relacionadas.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-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Plantilla para la definición de los componentes clave de la infraestructura en los Estados costeros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B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- Plantilla para el Plan de Comunicaciones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C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-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Plantilla para el establecimiento del posible apoyo que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solicitará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 los Estados vecinos a través de canales diplomáticos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D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- Plantilla para el Informe de Concientización sobre la Situación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lastRenderedPageBreak/>
        <w:br w:type="textWrapping" w:clear="all"/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A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Plantilla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lista de verificación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para la definición de los componentes clave de la infraestructura en los estados costeros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spacing w:after="120"/>
        <w:ind w:left="357" w:hanging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1)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Situación en cada uno de los puertos clave, sus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accesos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y puntos críticos de paso:</w:t>
      </w:r>
    </w:p>
    <w:p w:rsidR="00ED5022" w:rsidRPr="00ED5022" w:rsidRDefault="00ED5022" w:rsidP="00ED5022">
      <w:pPr>
        <w:pStyle w:val="Prrafodelista"/>
        <w:numPr>
          <w:ilvl w:val="0"/>
          <w:numId w:val="12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Existencia de restos y obstrucciones.</w:t>
      </w:r>
    </w:p>
    <w:p w:rsidR="00ED5022" w:rsidRPr="00ED5022" w:rsidRDefault="00ED5022" w:rsidP="00ED5022">
      <w:pPr>
        <w:pStyle w:val="Prrafodelista"/>
        <w:numPr>
          <w:ilvl w:val="0"/>
          <w:numId w:val="12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Posibles cambios en las profundidades cartografiadas.</w:t>
      </w:r>
    </w:p>
    <w:p w:rsidR="00ED5022" w:rsidRPr="00ED5022" w:rsidRDefault="00ED5022" w:rsidP="00ED5022">
      <w:pPr>
        <w:pStyle w:val="Prrafodelista"/>
        <w:numPr>
          <w:ilvl w:val="0"/>
          <w:numId w:val="12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Condiciones de trabajo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los mareómetros.</w:t>
      </w:r>
    </w:p>
    <w:p w:rsidR="00ED5022" w:rsidRPr="00ED5022" w:rsidRDefault="00ED5022" w:rsidP="00ED5022">
      <w:pPr>
        <w:pStyle w:val="Prrafodelista"/>
        <w:numPr>
          <w:ilvl w:val="0"/>
          <w:numId w:val="12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Condiciones de trabajo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Avisos a los Navegantes.</w:t>
      </w:r>
    </w:p>
    <w:p w:rsidR="00ED5022" w:rsidRPr="00ED5022" w:rsidRDefault="00ED5022" w:rsidP="00ED5022">
      <w:pPr>
        <w:pStyle w:val="Prrafodelista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Capacidad para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difundir información clave de navegación al Coordinador Nacional de MSI</w:t>
      </w:r>
    </w:p>
    <w:p w:rsidR="00ED5022" w:rsidRPr="00ED676D" w:rsidRDefault="00ED5022" w:rsidP="00ED5022">
      <w:pPr>
        <w:ind w:left="720" w:hanging="360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</w:p>
    <w:p w:rsidR="00ED5022" w:rsidRPr="00ED676D" w:rsidRDefault="00ED5022" w:rsidP="00ED5022">
      <w:pPr>
        <w:spacing w:after="120"/>
        <w:ind w:left="357" w:hanging="357"/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2)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Capacidad del Coordinador Nacional de MSI para:</w:t>
      </w:r>
    </w:p>
    <w:p w:rsidR="00ED5022" w:rsidRPr="00ED5022" w:rsidRDefault="00ED5022" w:rsidP="00ED5022">
      <w:pPr>
        <w:pStyle w:val="Prrafodelista"/>
        <w:numPr>
          <w:ilvl w:val="0"/>
          <w:numId w:val="13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promulgará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las advertencias de navegación adecuadas y la información y el asesoramiento necesarios para el envío a través de los canales existentes (por ejemplo, NAVTEX,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proofErr w:type="spellStart"/>
      <w:r w:rsidRPr="00ED5022">
        <w:rPr>
          <w:rFonts w:eastAsia="Times New Roman" w:cs="Times New Roman"/>
          <w:color w:val="000000"/>
          <w:szCs w:val="24"/>
          <w:lang w:val="es-CO"/>
        </w:rPr>
        <w:t>SafetyNET</w:t>
      </w:r>
      <w:proofErr w:type="spellEnd"/>
      <w:r w:rsidRPr="00ED5022">
        <w:rPr>
          <w:rFonts w:eastAsia="Times New Roman" w:cs="Times New Roman"/>
          <w:color w:val="000000"/>
          <w:szCs w:val="24"/>
          <w:lang w:val="es-CO"/>
        </w:rPr>
        <w:t>, etc.)</w:t>
      </w:r>
    </w:p>
    <w:p w:rsidR="00ED5022" w:rsidRPr="00ED5022" w:rsidRDefault="00ED5022" w:rsidP="00ED5022">
      <w:pPr>
        <w:pStyle w:val="Prrafodelista"/>
        <w:numPr>
          <w:ilvl w:val="0"/>
          <w:numId w:val="13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Comunicarse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 el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coordinador de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NAVAREA.</w:t>
      </w:r>
    </w:p>
    <w:p w:rsidR="00ED5022" w:rsidRPr="00ED5022" w:rsidRDefault="00ED5022" w:rsidP="00ED5022">
      <w:pPr>
        <w:pStyle w:val="Prrafodelista"/>
        <w:numPr>
          <w:ilvl w:val="0"/>
          <w:numId w:val="13"/>
        </w:num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Comunicarse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con las demás agencias nacionales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establecidas en el Plan Nacional de Comunicación.</w:t>
      </w:r>
    </w:p>
    <w:p w:rsidR="00ED5022" w:rsidRPr="00ED676D" w:rsidRDefault="00ED5022" w:rsidP="00ED5022">
      <w:pPr>
        <w:jc w:val="both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b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(a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desarrollar)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C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Plantilla para el establecimiento del posible apoyo que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se solicitará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a los Estados vecinos a través de canales diplomáticos.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ind w:left="360" w:hanging="360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1)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vuelos de reconocimiento / evaluación</w:t>
      </w:r>
    </w:p>
    <w:p w:rsidR="00ED5022" w:rsidRPr="00ED676D" w:rsidRDefault="00ED5022" w:rsidP="00ED5022">
      <w:pPr>
        <w:ind w:left="360" w:hanging="360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2)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Evaluación utilizando imágenes satelitales, incluyendo batimetría derivada de satélites.</w:t>
      </w:r>
    </w:p>
    <w:p w:rsidR="00ED5022" w:rsidRPr="00ED676D" w:rsidRDefault="00ED5022" w:rsidP="00ED5022">
      <w:pPr>
        <w:ind w:left="360" w:hanging="360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3)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equipos de encuesta desplegables</w:t>
      </w:r>
    </w:p>
    <w:p w:rsidR="00ED5022" w:rsidRPr="00ED676D" w:rsidRDefault="00ED5022" w:rsidP="00ED5022">
      <w:pPr>
        <w:ind w:left="360" w:hanging="360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4)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producción de provisional-ENC</w:t>
      </w:r>
    </w:p>
    <w:p w:rsidR="00ED5022" w:rsidRPr="00ED676D" w:rsidRDefault="00ED5022" w:rsidP="00ED5022">
      <w:pPr>
        <w:ind w:left="360" w:hanging="360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5)</w:t>
      </w:r>
      <w:r w:rsidRPr="00ED676D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676D">
        <w:rPr>
          <w:rFonts w:eastAsia="Times New Roman" w:cs="Times New Roman"/>
          <w:color w:val="000000"/>
          <w:sz w:val="14"/>
          <w:szCs w:val="14"/>
          <w:lang w:val="es-CO"/>
        </w:rPr>
        <w:t>      </w:t>
      </w:r>
      <w:r w:rsidRPr="00ED5022">
        <w:rPr>
          <w:rFonts w:eastAsia="Times New Roman" w:cs="Times New Roman"/>
          <w:color w:val="000000"/>
          <w:szCs w:val="24"/>
          <w:lang w:val="es-CO"/>
        </w:rPr>
        <w:t>Elaboración de mapas de conciencia situacional.</w:t>
      </w:r>
    </w:p>
    <w:p w:rsidR="00ED5022" w:rsidRPr="00ED676D" w:rsidRDefault="00ED5022" w:rsidP="00ED5022">
      <w:pPr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676D">
        <w:rPr>
          <w:rFonts w:eastAsia="Times New Roman" w:cs="Times New Roman"/>
          <w:color w:val="000000"/>
          <w:szCs w:val="24"/>
          <w:lang w:val="es-CO"/>
        </w:rPr>
        <w:t> 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b/>
          <w:bCs/>
          <w:color w:val="000000"/>
          <w:szCs w:val="24"/>
          <w:lang w:val="es-CO"/>
        </w:rPr>
        <w:t>Anexo d</w:t>
      </w:r>
    </w:p>
    <w:p w:rsidR="00ED5022" w:rsidRPr="00ED676D" w:rsidRDefault="00ED5022" w:rsidP="00ED5022">
      <w:pPr>
        <w:jc w:val="center"/>
        <w:rPr>
          <w:rFonts w:eastAsia="Times New Roman" w:cs="Times New Roman"/>
          <w:color w:val="000000"/>
          <w:sz w:val="27"/>
          <w:szCs w:val="27"/>
          <w:lang w:val="es-CO"/>
        </w:rPr>
      </w:pPr>
      <w:r w:rsidRPr="00ED5022">
        <w:rPr>
          <w:rFonts w:eastAsia="Times New Roman" w:cs="Times New Roman"/>
          <w:color w:val="000000"/>
          <w:szCs w:val="24"/>
          <w:lang w:val="es-CO"/>
        </w:rPr>
        <w:t>(a</w:t>
      </w:r>
      <w:r w:rsidRPr="00ED5022">
        <w:rPr>
          <w:rFonts w:eastAsia="Times New Roman" w:cs="Times New Roman"/>
          <w:color w:val="000000"/>
          <w:sz w:val="27"/>
          <w:szCs w:val="27"/>
          <w:lang w:val="es-CO"/>
        </w:rPr>
        <w:t> </w:t>
      </w:r>
      <w:r w:rsidRPr="00ED5022">
        <w:rPr>
          <w:rFonts w:eastAsia="Times New Roman" w:cs="Times New Roman"/>
          <w:color w:val="000000"/>
          <w:szCs w:val="24"/>
          <w:lang w:val="es-CO"/>
        </w:rPr>
        <w:t>desarrollar)</w:t>
      </w:r>
    </w:p>
    <w:p w:rsidR="00ED5022" w:rsidRPr="00ED5022" w:rsidRDefault="00ED5022" w:rsidP="00ED5022">
      <w:pPr>
        <w:rPr>
          <w:lang w:val="es-CO"/>
        </w:rPr>
      </w:pPr>
    </w:p>
    <w:p w:rsidR="00ED5022" w:rsidRPr="00ED5022" w:rsidRDefault="00ED5022" w:rsidP="00ED5022">
      <w:pPr>
        <w:jc w:val="center"/>
        <w:rPr>
          <w:lang w:val="es-CO"/>
        </w:rPr>
      </w:pPr>
    </w:p>
    <w:p w:rsidR="00143317" w:rsidRPr="00ED5022" w:rsidRDefault="00143317" w:rsidP="00ED5022">
      <w:pPr>
        <w:rPr>
          <w:lang w:val="es-CO"/>
        </w:rPr>
      </w:pPr>
    </w:p>
    <w:sectPr w:rsidR="00143317" w:rsidRPr="00ED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05"/>
    <w:multiLevelType w:val="multilevel"/>
    <w:tmpl w:val="A3A68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F5E11"/>
    <w:multiLevelType w:val="multilevel"/>
    <w:tmpl w:val="EF705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B4E98"/>
    <w:multiLevelType w:val="multilevel"/>
    <w:tmpl w:val="C0A4F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E1D4F"/>
    <w:multiLevelType w:val="multilevel"/>
    <w:tmpl w:val="2FDC6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C2848"/>
    <w:multiLevelType w:val="hybridMultilevel"/>
    <w:tmpl w:val="31945E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2099C"/>
    <w:multiLevelType w:val="multilevel"/>
    <w:tmpl w:val="C464E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D2BBF"/>
    <w:multiLevelType w:val="multilevel"/>
    <w:tmpl w:val="D7940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91EC6"/>
    <w:multiLevelType w:val="multilevel"/>
    <w:tmpl w:val="71821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D2F5E"/>
    <w:multiLevelType w:val="hybridMultilevel"/>
    <w:tmpl w:val="D5FEE8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151459"/>
    <w:multiLevelType w:val="hybridMultilevel"/>
    <w:tmpl w:val="9D78AE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E11F06"/>
    <w:multiLevelType w:val="hybridMultilevel"/>
    <w:tmpl w:val="9F981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C46EC"/>
    <w:multiLevelType w:val="multilevel"/>
    <w:tmpl w:val="0D20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034DE"/>
    <w:multiLevelType w:val="hybridMultilevel"/>
    <w:tmpl w:val="AEA6C8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D"/>
    <w:rsid w:val="00143317"/>
    <w:rsid w:val="00ED5022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63D0"/>
  <w15:chartTrackingRefBased/>
  <w15:docId w15:val="{F1774901-DF7F-4924-93B1-5A90D76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6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translate">
    <w:name w:val="notranslate"/>
    <w:basedOn w:val="Fuentedeprrafopredeter"/>
    <w:rsid w:val="00ED676D"/>
  </w:style>
  <w:style w:type="character" w:styleId="Hipervnculo">
    <w:name w:val="Hyperlink"/>
    <w:basedOn w:val="Fuentedeprrafopredeter"/>
    <w:uiPriority w:val="99"/>
    <w:semiHidden/>
    <w:unhideWhenUsed/>
    <w:rsid w:val="00ED67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s&amp;prev=_t&amp;sl=auto&amp;tl=es&amp;u=http://www.iala-a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s&amp;prev=_t&amp;sl=auto&amp;tl=es&amp;u=http://www.i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s&amp;prev=_t&amp;sl=auto&amp;tl=es&amp;u=http://www.racrempeit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.google.com/translate?hl=es&amp;prev=_t&amp;sl=auto&amp;tl=es&amp;u=http://www.cdem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s&amp;prev=_t&amp;sl=auto&amp;tl=es&amp;u=http://www.mapacti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2019-05-13T14:27:00Z</dcterms:created>
  <dcterms:modified xsi:type="dcterms:W3CDTF">2019-05-13T15:32:00Z</dcterms:modified>
</cp:coreProperties>
</file>