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D5" w:rsidRPr="00600DE6" w:rsidRDefault="00600DE6" w:rsidP="00600DE6">
      <w:pPr>
        <w:jc w:val="center"/>
        <w:rPr>
          <w:b/>
        </w:rPr>
      </w:pPr>
      <w:r w:rsidRPr="00600DE6">
        <w:rPr>
          <w:b/>
        </w:rPr>
        <w:t>International Hydrographic Organisation</w:t>
      </w:r>
    </w:p>
    <w:p w:rsidR="00600DE6" w:rsidRDefault="00600DE6" w:rsidP="00600DE6">
      <w:pPr>
        <w:jc w:val="center"/>
        <w:rPr>
          <w:b/>
        </w:rPr>
      </w:pPr>
      <w:r w:rsidRPr="00600DE6">
        <w:rPr>
          <w:b/>
        </w:rPr>
        <w:t xml:space="preserve">Marine Spatial Data </w:t>
      </w:r>
      <w:r w:rsidR="00B823D1" w:rsidRPr="00600DE6">
        <w:rPr>
          <w:b/>
        </w:rPr>
        <w:t>Infrastructures</w:t>
      </w:r>
      <w:r w:rsidRPr="00600DE6">
        <w:rPr>
          <w:b/>
        </w:rPr>
        <w:t xml:space="preserve"> Working Group (MSDIWG)</w:t>
      </w:r>
    </w:p>
    <w:p w:rsidR="00600DE6" w:rsidRDefault="00600DE6" w:rsidP="00600DE6">
      <w:pPr>
        <w:jc w:val="center"/>
        <w:rPr>
          <w:b/>
        </w:rPr>
      </w:pPr>
    </w:p>
    <w:p w:rsidR="00B823D1" w:rsidRDefault="00EC74C5" w:rsidP="00600DE6">
      <w:pPr>
        <w:jc w:val="center"/>
        <w:rPr>
          <w:b/>
        </w:rPr>
      </w:pPr>
      <w:r>
        <w:rPr>
          <w:b/>
        </w:rPr>
        <w:t xml:space="preserve">Guidance for </w:t>
      </w:r>
      <w:r w:rsidR="00B823D1">
        <w:rPr>
          <w:b/>
        </w:rPr>
        <w:t xml:space="preserve">Data </w:t>
      </w:r>
      <w:r w:rsidR="00600DE6">
        <w:rPr>
          <w:b/>
        </w:rPr>
        <w:t>Licensing</w:t>
      </w:r>
      <w:r w:rsidR="0008370E">
        <w:rPr>
          <w:b/>
        </w:rPr>
        <w:t>: A contribution from expert contributors</w:t>
      </w:r>
    </w:p>
    <w:p w:rsidR="00E50EAD" w:rsidRDefault="00E50EAD" w:rsidP="00600DE6">
      <w:pPr>
        <w:jc w:val="center"/>
        <w:rPr>
          <w:b/>
        </w:rPr>
      </w:pPr>
      <w:r>
        <w:rPr>
          <w:b/>
        </w:rPr>
        <w:t>Draft v0.1</w:t>
      </w:r>
      <w:r w:rsidR="00893B54">
        <w:rPr>
          <w:b/>
        </w:rPr>
        <w:t xml:space="preserve"> – April 2018</w:t>
      </w:r>
    </w:p>
    <w:p w:rsidR="00B823D1" w:rsidRDefault="00B823D1" w:rsidP="005E3DB3">
      <w:pPr>
        <w:spacing w:after="0" w:line="360" w:lineRule="auto"/>
        <w:rPr>
          <w:b/>
        </w:rPr>
      </w:pPr>
    </w:p>
    <w:p w:rsidR="00EC74C5" w:rsidRPr="006C70E3" w:rsidRDefault="00DE7EA0" w:rsidP="006C70E3">
      <w:pPr>
        <w:pStyle w:val="Listeafsnit"/>
        <w:numPr>
          <w:ilvl w:val="0"/>
          <w:numId w:val="3"/>
        </w:numPr>
        <w:spacing w:after="120" w:line="240" w:lineRule="auto"/>
        <w:ind w:left="426" w:hanging="426"/>
        <w:rPr>
          <w:b/>
          <w:sz w:val="28"/>
          <w:szCs w:val="28"/>
        </w:rPr>
      </w:pPr>
      <w:r w:rsidRPr="006C70E3">
        <w:rPr>
          <w:b/>
          <w:sz w:val="28"/>
          <w:szCs w:val="28"/>
        </w:rPr>
        <w:t>Context</w:t>
      </w:r>
    </w:p>
    <w:p w:rsidR="00DE7EA0" w:rsidRDefault="00DE7EA0" w:rsidP="006C70E3">
      <w:pPr>
        <w:spacing w:after="120" w:line="240" w:lineRule="auto"/>
        <w:rPr>
          <w:bCs/>
        </w:rPr>
      </w:pPr>
      <w:r w:rsidRPr="006C70E3">
        <w:rPr>
          <w:bCs/>
        </w:rPr>
        <w:t>The M</w:t>
      </w:r>
      <w:r>
        <w:rPr>
          <w:bCs/>
        </w:rPr>
        <w:t>SDI working group was contacted by a member IHO state seeking guidance on data licensing. This paper aims to provide advice on data licencing to promote the advancement of Marine Spatial Data Infrastructures</w:t>
      </w:r>
      <w:r w:rsidR="00653423">
        <w:rPr>
          <w:bCs/>
        </w:rPr>
        <w:t xml:space="preserve"> (MSDI)</w:t>
      </w:r>
      <w:r>
        <w:rPr>
          <w:bCs/>
        </w:rPr>
        <w:t xml:space="preserve">.   </w:t>
      </w:r>
    </w:p>
    <w:p w:rsidR="00D73D7B" w:rsidRDefault="00D73D7B" w:rsidP="006C70E3">
      <w:pPr>
        <w:spacing w:after="120" w:line="240" w:lineRule="auto"/>
        <w:rPr>
          <w:bCs/>
        </w:rPr>
      </w:pPr>
    </w:p>
    <w:p w:rsidR="0008370E" w:rsidRPr="006C70E3" w:rsidRDefault="0008370E" w:rsidP="0008370E">
      <w:pPr>
        <w:pStyle w:val="Listeafsnit"/>
        <w:numPr>
          <w:ilvl w:val="0"/>
          <w:numId w:val="3"/>
        </w:numPr>
        <w:spacing w:after="120" w:line="240" w:lineRule="auto"/>
        <w:ind w:left="426" w:hanging="426"/>
        <w:rPr>
          <w:b/>
          <w:sz w:val="28"/>
          <w:szCs w:val="28"/>
        </w:rPr>
      </w:pPr>
      <w:r w:rsidRPr="006C70E3">
        <w:rPr>
          <w:b/>
          <w:sz w:val="28"/>
          <w:szCs w:val="28"/>
        </w:rPr>
        <w:t>Concepts</w:t>
      </w:r>
    </w:p>
    <w:p w:rsidR="00DE7EA0" w:rsidRDefault="00DE7EA0" w:rsidP="006C70E3">
      <w:pPr>
        <w:spacing w:after="120" w:line="240" w:lineRule="auto"/>
        <w:rPr>
          <w:bCs/>
        </w:rPr>
      </w:pPr>
      <w:r>
        <w:rPr>
          <w:bCs/>
        </w:rPr>
        <w:t xml:space="preserve">To avoid confusion between the authors and the readers, it is firstly important to ensure a common base of concepts and terminology. </w:t>
      </w:r>
    </w:p>
    <w:p w:rsidR="00D06FD0" w:rsidRDefault="009C55AF" w:rsidP="006C70E3">
      <w:pPr>
        <w:spacing w:after="120" w:line="240" w:lineRule="auto"/>
        <w:ind w:left="720"/>
        <w:rPr>
          <w:b/>
          <w:bCs/>
        </w:rPr>
      </w:pPr>
      <w:r>
        <w:rPr>
          <w:b/>
          <w:bCs/>
        </w:rPr>
        <w:t xml:space="preserve">2.1 </w:t>
      </w:r>
      <w:r w:rsidR="00D73D7B">
        <w:rPr>
          <w:b/>
          <w:bCs/>
        </w:rPr>
        <w:t xml:space="preserve">Defining </w:t>
      </w:r>
      <w:r w:rsidR="00D06FD0" w:rsidRPr="006C70E3">
        <w:rPr>
          <w:b/>
          <w:bCs/>
          <w:i/>
        </w:rPr>
        <w:t>Spatial Data Infrastructure</w:t>
      </w:r>
      <w:r w:rsidR="00D06FD0">
        <w:rPr>
          <w:b/>
          <w:bCs/>
        </w:rPr>
        <w:t>:</w:t>
      </w:r>
    </w:p>
    <w:p w:rsidR="0008370E" w:rsidRPr="00F77DFC" w:rsidRDefault="00D06FD0" w:rsidP="006C70E3">
      <w:pPr>
        <w:spacing w:after="120" w:line="240" w:lineRule="auto"/>
        <w:ind w:left="720"/>
        <w:rPr>
          <w:bCs/>
        </w:rPr>
      </w:pPr>
      <w:r>
        <w:rPr>
          <w:bCs/>
        </w:rPr>
        <w:t xml:space="preserve">A Spatial Data Infrastructure (SDI) is a collection of technologies, policies and institutional arrangements that facilitate the availability of and access to spatial </w:t>
      </w:r>
      <w:r w:rsidR="0008370E">
        <w:rPr>
          <w:bCs/>
        </w:rPr>
        <w:t>data</w:t>
      </w:r>
      <w:r w:rsidR="0008370E">
        <w:rPr>
          <w:rStyle w:val="Fodnotehenvisning"/>
          <w:bCs/>
        </w:rPr>
        <w:footnoteReference w:id="1"/>
      </w:r>
      <w:r w:rsidR="0008370E">
        <w:rPr>
          <w:bCs/>
        </w:rPr>
        <w:t xml:space="preserve">. </w:t>
      </w:r>
    </w:p>
    <w:p w:rsidR="00D06FD0" w:rsidRDefault="00D06FD0" w:rsidP="006C70E3">
      <w:pPr>
        <w:spacing w:after="120" w:line="240" w:lineRule="auto"/>
        <w:ind w:left="720"/>
        <w:rPr>
          <w:bCs/>
        </w:rPr>
      </w:pPr>
      <w:r w:rsidRPr="00D06FD0">
        <w:rPr>
          <w:bCs/>
        </w:rPr>
        <w:t xml:space="preserve">A </w:t>
      </w:r>
      <w:r>
        <w:rPr>
          <w:bCs/>
        </w:rPr>
        <w:t>S</w:t>
      </w:r>
      <w:r w:rsidRPr="006C70E3">
        <w:rPr>
          <w:bCs/>
        </w:rPr>
        <w:t>D</w:t>
      </w:r>
      <w:r w:rsidRPr="00D06FD0">
        <w:rPr>
          <w:bCs/>
        </w:rPr>
        <w:t>I</w:t>
      </w:r>
      <w:r w:rsidRPr="006C70E3">
        <w:rPr>
          <w:bCs/>
        </w:rPr>
        <w:t xml:space="preserve"> facilitates the sharing of data, by </w:t>
      </w:r>
      <w:r w:rsidR="0008370E">
        <w:rPr>
          <w:bCs/>
        </w:rPr>
        <w:t xml:space="preserve">removing </w:t>
      </w:r>
      <w:r w:rsidR="0008370E" w:rsidRPr="00D06FD0">
        <w:rPr>
          <w:bCs/>
        </w:rPr>
        <w:t>duplication</w:t>
      </w:r>
      <w:r w:rsidRPr="006C70E3">
        <w:rPr>
          <w:bCs/>
        </w:rPr>
        <w:t xml:space="preserve"> associated with the generation and maintenance of geospatial information and supports integration </w:t>
      </w:r>
      <w:r>
        <w:rPr>
          <w:bCs/>
        </w:rPr>
        <w:t xml:space="preserve">with other datasets.  This leads to the development of innovative business applications, greater </w:t>
      </w:r>
      <w:r w:rsidR="0008370E">
        <w:rPr>
          <w:bCs/>
        </w:rPr>
        <w:t>efficiencies</w:t>
      </w:r>
      <w:r>
        <w:rPr>
          <w:bCs/>
        </w:rPr>
        <w:t xml:space="preserve"> in the public and private sector and provides better information to support decision making. </w:t>
      </w:r>
    </w:p>
    <w:p w:rsidR="00653423" w:rsidRDefault="00653423" w:rsidP="006C70E3">
      <w:pPr>
        <w:spacing w:after="120" w:line="240" w:lineRule="auto"/>
        <w:ind w:left="720"/>
        <w:rPr>
          <w:b/>
          <w:bCs/>
        </w:rPr>
      </w:pPr>
    </w:p>
    <w:p w:rsidR="0008370E" w:rsidRDefault="009C55AF" w:rsidP="006C70E3">
      <w:pPr>
        <w:spacing w:after="120" w:line="240" w:lineRule="auto"/>
        <w:ind w:left="720"/>
        <w:rPr>
          <w:bCs/>
        </w:rPr>
      </w:pPr>
      <w:r>
        <w:rPr>
          <w:b/>
          <w:bCs/>
        </w:rPr>
        <w:t xml:space="preserve">2.2 </w:t>
      </w:r>
      <w:r w:rsidR="00CF301A" w:rsidRPr="00CF301A">
        <w:rPr>
          <w:b/>
          <w:bCs/>
        </w:rPr>
        <w:t xml:space="preserve">Defining </w:t>
      </w:r>
      <w:r w:rsidR="00CF301A" w:rsidRPr="006C70E3">
        <w:rPr>
          <w:b/>
          <w:bCs/>
          <w:i/>
        </w:rPr>
        <w:t>M</w:t>
      </w:r>
      <w:r w:rsidR="00D06FD0" w:rsidRPr="006C70E3">
        <w:rPr>
          <w:b/>
          <w:bCs/>
          <w:i/>
        </w:rPr>
        <w:t xml:space="preserve">arine </w:t>
      </w:r>
      <w:r w:rsidR="00CF301A" w:rsidRPr="006C70E3">
        <w:rPr>
          <w:b/>
          <w:bCs/>
          <w:i/>
        </w:rPr>
        <w:t>S</w:t>
      </w:r>
      <w:r w:rsidR="00D06FD0" w:rsidRPr="006C70E3">
        <w:rPr>
          <w:b/>
          <w:bCs/>
          <w:i/>
        </w:rPr>
        <w:t xml:space="preserve">patial </w:t>
      </w:r>
      <w:r w:rsidR="00CF301A" w:rsidRPr="006C70E3">
        <w:rPr>
          <w:b/>
          <w:bCs/>
          <w:i/>
        </w:rPr>
        <w:t>D</w:t>
      </w:r>
      <w:r w:rsidR="00D06FD0" w:rsidRPr="006C70E3">
        <w:rPr>
          <w:b/>
          <w:bCs/>
          <w:i/>
        </w:rPr>
        <w:t xml:space="preserve">ata </w:t>
      </w:r>
      <w:r w:rsidR="0008370E" w:rsidRPr="006C70E3">
        <w:rPr>
          <w:b/>
          <w:bCs/>
          <w:i/>
        </w:rPr>
        <w:t>Infrastructure</w:t>
      </w:r>
      <w:r w:rsidR="00CF301A" w:rsidRPr="00CF301A">
        <w:rPr>
          <w:b/>
          <w:bCs/>
        </w:rPr>
        <w:t>:</w:t>
      </w:r>
      <w:r w:rsidR="00CF301A" w:rsidRPr="006C70E3">
        <w:rPr>
          <w:bCs/>
        </w:rPr>
        <w:t xml:space="preserve"> </w:t>
      </w:r>
    </w:p>
    <w:p w:rsidR="00EC74C5" w:rsidRDefault="00CF301A" w:rsidP="006C70E3">
      <w:pPr>
        <w:spacing w:after="120" w:line="240" w:lineRule="auto"/>
        <w:ind w:left="720"/>
        <w:rPr>
          <w:bCs/>
        </w:rPr>
      </w:pPr>
      <w:r w:rsidRPr="00CF301A">
        <w:rPr>
          <w:bCs/>
        </w:rPr>
        <w:t xml:space="preserve">MSDI is a specialised spatial data infrastructure that </w:t>
      </w:r>
      <w:r>
        <w:rPr>
          <w:bCs/>
        </w:rPr>
        <w:t xml:space="preserve">encompasses all marine geographic and business information, for those working in the maritime and marine environment. Typical data includes marine </w:t>
      </w:r>
      <w:r w:rsidR="0008370E">
        <w:rPr>
          <w:bCs/>
        </w:rPr>
        <w:t>boundaries</w:t>
      </w:r>
      <w:r>
        <w:rPr>
          <w:bCs/>
        </w:rPr>
        <w:t>, conservation and preservation areas, marine habitats, oceanography, bathymetry, hy</w:t>
      </w:r>
      <w:r w:rsidR="0008370E">
        <w:rPr>
          <w:bCs/>
        </w:rPr>
        <w:t>drography, geology, marine infra</w:t>
      </w:r>
      <w:r>
        <w:rPr>
          <w:bCs/>
        </w:rPr>
        <w:t>str</w:t>
      </w:r>
      <w:r w:rsidR="0008370E">
        <w:rPr>
          <w:bCs/>
        </w:rPr>
        <w:t>uc</w:t>
      </w:r>
      <w:r>
        <w:rPr>
          <w:bCs/>
        </w:rPr>
        <w:t xml:space="preserve">ture, wreaks, offshore </w:t>
      </w:r>
      <w:r w:rsidR="0008370E">
        <w:rPr>
          <w:bCs/>
        </w:rPr>
        <w:t>installations</w:t>
      </w:r>
      <w:r>
        <w:rPr>
          <w:bCs/>
        </w:rPr>
        <w:t xml:space="preserve">, pipelines and cables.   </w:t>
      </w:r>
    </w:p>
    <w:p w:rsidR="0008370E" w:rsidRDefault="0008370E" w:rsidP="006C70E3">
      <w:pPr>
        <w:spacing w:after="120" w:line="240" w:lineRule="auto"/>
        <w:rPr>
          <w:bCs/>
        </w:rPr>
      </w:pPr>
    </w:p>
    <w:p w:rsidR="005F2FCC" w:rsidRDefault="009C55AF" w:rsidP="005F2FCC">
      <w:pPr>
        <w:spacing w:after="120" w:line="240" w:lineRule="auto"/>
        <w:ind w:left="720"/>
        <w:rPr>
          <w:bCs/>
        </w:rPr>
      </w:pPr>
      <w:r>
        <w:rPr>
          <w:b/>
          <w:bCs/>
        </w:rPr>
        <w:t xml:space="preserve">2.3 </w:t>
      </w:r>
      <w:r w:rsidR="005F2FCC" w:rsidRPr="00CF301A">
        <w:rPr>
          <w:b/>
          <w:bCs/>
        </w:rPr>
        <w:t xml:space="preserve">Defining </w:t>
      </w:r>
      <w:r w:rsidR="005F2FCC" w:rsidRPr="006C70E3">
        <w:rPr>
          <w:b/>
          <w:bCs/>
          <w:i/>
        </w:rPr>
        <w:t>License</w:t>
      </w:r>
      <w:r w:rsidR="005F2FCC" w:rsidRPr="00CF301A">
        <w:rPr>
          <w:b/>
          <w:bCs/>
        </w:rPr>
        <w:t>:</w:t>
      </w:r>
      <w:r w:rsidR="005F2FCC" w:rsidRPr="00F77DFC">
        <w:rPr>
          <w:bCs/>
        </w:rPr>
        <w:t xml:space="preserve"> </w:t>
      </w:r>
    </w:p>
    <w:p w:rsidR="0008370E" w:rsidRDefault="00653423" w:rsidP="006C70E3">
      <w:pPr>
        <w:spacing w:after="120" w:line="240" w:lineRule="auto"/>
        <w:ind w:left="720"/>
        <w:rPr>
          <w:bCs/>
        </w:rPr>
      </w:pPr>
      <w:r w:rsidRPr="006C70E3">
        <w:rPr>
          <w:bCs/>
        </w:rPr>
        <w:t>A permission accorded by a competent authority, conferring the right to do some act whic</w:t>
      </w:r>
      <w:r w:rsidR="002E6778">
        <w:rPr>
          <w:bCs/>
        </w:rPr>
        <w:t>h without such authoris</w:t>
      </w:r>
      <w:r w:rsidRPr="006C70E3">
        <w:rPr>
          <w:bCs/>
        </w:rPr>
        <w:t>ation would be illegal, or would be a trespass or a tort</w:t>
      </w:r>
      <w:r w:rsidR="005F2FCC" w:rsidRPr="002E6778">
        <w:rPr>
          <w:rStyle w:val="Fodnotehenvisning"/>
          <w:bCs/>
        </w:rPr>
        <w:footnoteReference w:id="2"/>
      </w:r>
      <w:r w:rsidR="0032551B">
        <w:rPr>
          <w:bCs/>
        </w:rPr>
        <w:t>.</w:t>
      </w:r>
      <w:r w:rsidR="00B00D7F">
        <w:rPr>
          <w:bCs/>
        </w:rPr>
        <w:t xml:space="preserve"> </w:t>
      </w:r>
    </w:p>
    <w:p w:rsidR="009C55AF" w:rsidRPr="00F77DFC" w:rsidRDefault="009C55AF" w:rsidP="006C70E3">
      <w:pPr>
        <w:spacing w:after="120" w:line="240" w:lineRule="auto"/>
        <w:ind w:left="720"/>
        <w:rPr>
          <w:bCs/>
        </w:rPr>
      </w:pPr>
      <w:r w:rsidRPr="00F77DFC">
        <w:rPr>
          <w:bCs/>
        </w:rPr>
        <w:t xml:space="preserve">Licences typically grant permissions on condition that certain terms are met. While the precise details vary, three conditions commonly found in licences are attribution, </w:t>
      </w:r>
      <w:r>
        <w:rPr>
          <w:bCs/>
        </w:rPr>
        <w:t>share-alike</w:t>
      </w:r>
      <w:r w:rsidRPr="00F77DFC">
        <w:rPr>
          <w:bCs/>
        </w:rPr>
        <w:t>, and non-commerciality.</w:t>
      </w:r>
    </w:p>
    <w:p w:rsidR="009C55AF" w:rsidRPr="00F77DFC" w:rsidRDefault="009C55AF" w:rsidP="006C70E3">
      <w:pPr>
        <w:numPr>
          <w:ilvl w:val="0"/>
          <w:numId w:val="17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283"/>
        <w:textAlignment w:val="baseline"/>
        <w:rPr>
          <w:bCs/>
        </w:rPr>
      </w:pPr>
      <w:r w:rsidRPr="00F77DFC">
        <w:rPr>
          <w:bCs/>
        </w:rPr>
        <w:t>An</w:t>
      </w:r>
      <w:r>
        <w:rPr>
          <w:bCs/>
        </w:rPr>
        <w:t xml:space="preserve"> </w:t>
      </w:r>
      <w:r w:rsidRPr="006C70E3">
        <w:rPr>
          <w:b/>
          <w:bCs/>
        </w:rPr>
        <w:t>attribution</w:t>
      </w:r>
      <w:r>
        <w:rPr>
          <w:bCs/>
        </w:rPr>
        <w:t xml:space="preserve"> </w:t>
      </w:r>
      <w:r w:rsidRPr="00F77DFC">
        <w:rPr>
          <w:bCs/>
        </w:rPr>
        <w:t>requirement means that the licensor must be given due credit for the work when it is distributed, displayed, performed, or used to derive a new work.</w:t>
      </w:r>
    </w:p>
    <w:p w:rsidR="009C55AF" w:rsidRDefault="009C55AF" w:rsidP="006C70E3">
      <w:pPr>
        <w:numPr>
          <w:ilvl w:val="0"/>
          <w:numId w:val="17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283"/>
        <w:textAlignment w:val="baseline"/>
        <w:rPr>
          <w:bCs/>
        </w:rPr>
      </w:pPr>
      <w:r w:rsidRPr="00F77DFC">
        <w:rPr>
          <w:bCs/>
        </w:rPr>
        <w:t>A</w:t>
      </w:r>
      <w:r>
        <w:rPr>
          <w:bCs/>
        </w:rPr>
        <w:t xml:space="preserve"> </w:t>
      </w:r>
      <w:r w:rsidRPr="006C70E3">
        <w:rPr>
          <w:b/>
          <w:bCs/>
        </w:rPr>
        <w:t>share-alike</w:t>
      </w:r>
      <w:r>
        <w:rPr>
          <w:bCs/>
        </w:rPr>
        <w:t xml:space="preserve"> </w:t>
      </w:r>
      <w:r w:rsidRPr="00F77DFC">
        <w:rPr>
          <w:bCs/>
        </w:rPr>
        <w:t>requirement means that any new works derived from the licensed one must be released under the same license, and only that licence.</w:t>
      </w:r>
    </w:p>
    <w:p w:rsidR="005F2FCC" w:rsidRDefault="009C55AF" w:rsidP="006C70E3">
      <w:pPr>
        <w:numPr>
          <w:ilvl w:val="0"/>
          <w:numId w:val="17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283"/>
        <w:textAlignment w:val="baseline"/>
        <w:rPr>
          <w:bCs/>
        </w:rPr>
      </w:pPr>
      <w:r w:rsidRPr="009C55AF">
        <w:rPr>
          <w:bCs/>
        </w:rPr>
        <w:t xml:space="preserve">The intent of a </w:t>
      </w:r>
      <w:r w:rsidRPr="006C70E3">
        <w:rPr>
          <w:b/>
          <w:bCs/>
        </w:rPr>
        <w:t>non-commercial</w:t>
      </w:r>
      <w:r w:rsidRPr="009C55AF">
        <w:rPr>
          <w:bCs/>
        </w:rPr>
        <w:t xml:space="preserve"> licence is to prevent the licensee from </w:t>
      </w:r>
      <w:r>
        <w:rPr>
          <w:bCs/>
        </w:rPr>
        <w:t>using</w:t>
      </w:r>
      <w:r w:rsidRPr="009C55AF">
        <w:rPr>
          <w:bCs/>
        </w:rPr>
        <w:t xml:space="preserve"> the work commercially. </w:t>
      </w:r>
    </w:p>
    <w:p w:rsidR="009C55AF" w:rsidRPr="006C70E3" w:rsidRDefault="009C55AF" w:rsidP="006C70E3">
      <w:pPr>
        <w:shd w:val="clear" w:color="auto" w:fill="FFFFFF"/>
        <w:spacing w:after="0" w:line="240" w:lineRule="auto"/>
        <w:ind w:left="1276"/>
        <w:textAlignment w:val="baseline"/>
        <w:rPr>
          <w:bCs/>
        </w:rPr>
      </w:pPr>
    </w:p>
    <w:p w:rsidR="00B823D1" w:rsidRPr="006C70E3" w:rsidRDefault="009C55AF" w:rsidP="006C70E3">
      <w:pPr>
        <w:spacing w:after="120" w:line="240" w:lineRule="auto"/>
        <w:ind w:left="720"/>
        <w:rPr>
          <w:b/>
        </w:rPr>
      </w:pPr>
      <w:r>
        <w:rPr>
          <w:b/>
        </w:rPr>
        <w:t xml:space="preserve">2.4 </w:t>
      </w:r>
      <w:r w:rsidR="006C70E3">
        <w:rPr>
          <w:b/>
        </w:rPr>
        <w:t>Defining Open</w:t>
      </w:r>
      <w:r w:rsidR="00B823D1" w:rsidRPr="006C70E3">
        <w:rPr>
          <w:b/>
          <w:i/>
        </w:rPr>
        <w:t xml:space="preserve"> </w:t>
      </w:r>
      <w:r w:rsidR="00D73D7B" w:rsidRPr="006C70E3">
        <w:rPr>
          <w:b/>
          <w:i/>
        </w:rPr>
        <w:t>D</w:t>
      </w:r>
      <w:r w:rsidR="00B823D1" w:rsidRPr="006C70E3">
        <w:rPr>
          <w:b/>
          <w:i/>
        </w:rPr>
        <w:t>ata</w:t>
      </w:r>
      <w:r w:rsidR="00387B2A">
        <w:rPr>
          <w:b/>
        </w:rPr>
        <w:t>:</w:t>
      </w:r>
    </w:p>
    <w:p w:rsidR="00F61B7A" w:rsidRPr="005E3DB3" w:rsidRDefault="00F61B7A" w:rsidP="006C70E3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3DB3">
        <w:rPr>
          <w:rFonts w:asciiTheme="minorHAnsi" w:eastAsiaTheme="minorHAnsi" w:hAnsiTheme="minorHAnsi" w:cstheme="minorBidi"/>
          <w:sz w:val="22"/>
          <w:szCs w:val="22"/>
          <w:lang w:eastAsia="en-US"/>
        </w:rPr>
        <w:t>Open data and content can be </w:t>
      </w:r>
      <w:r w:rsidRPr="005E3D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freely used, modified, and shared</w:t>
      </w:r>
      <w:r w:rsidRPr="005E3DB3">
        <w:rPr>
          <w:rFonts w:asciiTheme="minorHAnsi" w:eastAsiaTheme="minorHAnsi" w:hAnsiTheme="minorHAnsi" w:cstheme="minorBidi"/>
          <w:sz w:val="22"/>
          <w:szCs w:val="22"/>
          <w:lang w:eastAsia="en-US"/>
        </w:rPr>
        <w:t> by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E3D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anyone</w:t>
      </w:r>
      <w:r w:rsidRPr="005E3DB3">
        <w:rPr>
          <w:rFonts w:asciiTheme="minorHAnsi" w:eastAsiaTheme="minorHAnsi" w:hAnsiTheme="minorHAnsi" w:cstheme="minorBidi"/>
          <w:sz w:val="22"/>
          <w:szCs w:val="22"/>
          <w:lang w:eastAsia="en-US"/>
        </w:rPr>
        <w:t> for </w:t>
      </w:r>
      <w:r w:rsidRPr="005E3D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any purpose</w:t>
      </w:r>
      <w:r w:rsidR="00BB46C5">
        <w:rPr>
          <w:rStyle w:val="Fodnotehenvisning"/>
          <w:rFonts w:asciiTheme="minorHAnsi" w:eastAsiaTheme="minorHAnsi" w:hAnsiTheme="minorHAnsi" w:cstheme="minorBidi"/>
          <w:sz w:val="22"/>
          <w:szCs w:val="22"/>
          <w:lang w:eastAsia="en-US"/>
        </w:rPr>
        <w:footnoteReference w:id="3"/>
      </w:r>
      <w:r w:rsidR="00CB1B1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</w:t>
      </w:r>
    </w:p>
    <w:p w:rsidR="00F61B7A" w:rsidRDefault="00FD5FC1" w:rsidP="006C70E3">
      <w:pPr>
        <w:spacing w:after="120" w:line="240" w:lineRule="auto"/>
        <w:ind w:left="720"/>
        <w:rPr>
          <w:bCs/>
        </w:rPr>
      </w:pPr>
      <w:r w:rsidRPr="00F61B7A">
        <w:rPr>
          <w:bCs/>
        </w:rPr>
        <w:t>The </w:t>
      </w:r>
      <w:hyperlink r:id="rId8" w:history="1">
        <w:r w:rsidRPr="00F61B7A">
          <w:t>Open Definition</w:t>
        </w:r>
      </w:hyperlink>
      <w:r w:rsidRPr="00F61B7A">
        <w:rPr>
          <w:bCs/>
        </w:rPr>
        <w:t> sets out principles that define “openness” in relation to </w:t>
      </w:r>
      <w:r w:rsidRPr="006C70E3">
        <w:t>data and content</w:t>
      </w:r>
      <w:r w:rsidR="00BB46C5" w:rsidRPr="006C70E3">
        <w:t xml:space="preserve"> including:</w:t>
      </w:r>
      <w:r w:rsidR="00BB46C5">
        <w:rPr>
          <w:b/>
        </w:rPr>
        <w:t xml:space="preserve"> </w:t>
      </w:r>
      <w:r w:rsidR="00F61B7A">
        <w:rPr>
          <w:bCs/>
        </w:rPr>
        <w:t xml:space="preserve"> </w:t>
      </w:r>
    </w:p>
    <w:p w:rsidR="00F61B7A" w:rsidRPr="00F61B7A" w:rsidRDefault="00F61B7A" w:rsidP="006C70E3">
      <w:pPr>
        <w:numPr>
          <w:ilvl w:val="0"/>
          <w:numId w:val="17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283"/>
        <w:textAlignment w:val="baseline"/>
        <w:rPr>
          <w:bCs/>
        </w:rPr>
      </w:pPr>
      <w:r w:rsidRPr="009C55AF">
        <w:rPr>
          <w:b/>
          <w:bCs/>
        </w:rPr>
        <w:t>Availability and Access</w:t>
      </w:r>
      <w:r w:rsidRPr="006C70E3">
        <w:rPr>
          <w:bCs/>
        </w:rPr>
        <w:t>:</w:t>
      </w:r>
      <w:r w:rsidRPr="00F61B7A">
        <w:rPr>
          <w:bCs/>
        </w:rPr>
        <w:t> the data must be available as a whole</w:t>
      </w:r>
      <w:r w:rsidR="00506CCC">
        <w:rPr>
          <w:bCs/>
        </w:rPr>
        <w:t>,</w:t>
      </w:r>
      <w:r w:rsidRPr="00F61B7A">
        <w:rPr>
          <w:bCs/>
        </w:rPr>
        <w:t xml:space="preserve"> and at no more than a reasonable reproduction cost, preferably by downloading over the internet. The data must also be available in a convenient and modifiable form.</w:t>
      </w:r>
    </w:p>
    <w:p w:rsidR="00F61B7A" w:rsidRPr="00F61B7A" w:rsidRDefault="00F61B7A" w:rsidP="006C70E3">
      <w:pPr>
        <w:numPr>
          <w:ilvl w:val="0"/>
          <w:numId w:val="17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283"/>
        <w:textAlignment w:val="baseline"/>
        <w:rPr>
          <w:bCs/>
        </w:rPr>
      </w:pPr>
      <w:r w:rsidRPr="009C55AF">
        <w:rPr>
          <w:b/>
          <w:bCs/>
        </w:rPr>
        <w:t>Re-use and Redistribution</w:t>
      </w:r>
      <w:r w:rsidRPr="006C70E3">
        <w:rPr>
          <w:bCs/>
        </w:rPr>
        <w:t>:</w:t>
      </w:r>
      <w:r w:rsidRPr="00F61B7A">
        <w:rPr>
          <w:bCs/>
        </w:rPr>
        <w:t> the data must be provided under terms that permit re-use and redistribution including the intermixing with other datasets.</w:t>
      </w:r>
    </w:p>
    <w:p w:rsidR="00F61B7A" w:rsidRDefault="00F61B7A" w:rsidP="006C70E3">
      <w:pPr>
        <w:numPr>
          <w:ilvl w:val="0"/>
          <w:numId w:val="17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283"/>
        <w:textAlignment w:val="baseline"/>
        <w:rPr>
          <w:bCs/>
        </w:rPr>
      </w:pPr>
      <w:r w:rsidRPr="009C55AF">
        <w:rPr>
          <w:b/>
          <w:bCs/>
        </w:rPr>
        <w:t>Universal Participation</w:t>
      </w:r>
      <w:r w:rsidRPr="006C70E3">
        <w:rPr>
          <w:bCs/>
        </w:rPr>
        <w:t>:</w:t>
      </w:r>
      <w:r w:rsidRPr="00F61B7A">
        <w:rPr>
          <w:bCs/>
        </w:rPr>
        <w:t> everyone must be able to use, re-use and redistribute - there should be no discrimination against fields of endeavour or against persons or groups. For example, ‘non-commercial’ restrictions that would prevent ‘commercial’ use, or restrictions of use for certain purposes (e.g. only in education), are not allowed.</w:t>
      </w:r>
    </w:p>
    <w:p w:rsidR="00BB46C5" w:rsidRDefault="00BB46C5" w:rsidP="006C70E3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146035" w:rsidRDefault="00BB46C5" w:rsidP="006C70E3">
      <w:pPr>
        <w:pStyle w:val="Listeafsnit"/>
        <w:numPr>
          <w:ilvl w:val="0"/>
          <w:numId w:val="3"/>
        </w:numPr>
        <w:spacing w:after="120" w:line="240" w:lineRule="auto"/>
        <w:ind w:left="426" w:hanging="426"/>
        <w:rPr>
          <w:b/>
          <w:sz w:val="28"/>
          <w:szCs w:val="28"/>
        </w:rPr>
      </w:pPr>
      <w:r w:rsidRPr="006C70E3">
        <w:rPr>
          <w:b/>
          <w:sz w:val="28"/>
          <w:szCs w:val="28"/>
        </w:rPr>
        <w:t>Why data need</w:t>
      </w:r>
      <w:r w:rsidR="00CB1B1C">
        <w:rPr>
          <w:b/>
          <w:sz w:val="28"/>
          <w:szCs w:val="28"/>
        </w:rPr>
        <w:t>s</w:t>
      </w:r>
      <w:r w:rsidR="00CB1B1C" w:rsidRPr="006C70E3">
        <w:rPr>
          <w:b/>
          <w:sz w:val="28"/>
          <w:szCs w:val="28"/>
        </w:rPr>
        <w:t xml:space="preserve"> to be licensed</w:t>
      </w:r>
      <w:r w:rsidRPr="006C70E3">
        <w:rPr>
          <w:b/>
          <w:sz w:val="28"/>
          <w:szCs w:val="28"/>
        </w:rPr>
        <w:t xml:space="preserve"> </w:t>
      </w:r>
    </w:p>
    <w:p w:rsidR="00CB1B1C" w:rsidRDefault="00CB1B1C" w:rsidP="00BB46C5">
      <w:pPr>
        <w:spacing w:after="120" w:line="240" w:lineRule="auto"/>
        <w:rPr>
          <w:bCs/>
        </w:rPr>
      </w:pPr>
      <w:r>
        <w:rPr>
          <w:bCs/>
        </w:rPr>
        <w:t xml:space="preserve">It is widely recognised that significant creative and economic potential may lie dormant in data locked up and not released on terms allowing re-use. The concepts behind MSDI recognise the potential held in data. However, if data is to be </w:t>
      </w:r>
      <w:r w:rsidR="000758E8">
        <w:rPr>
          <w:bCs/>
        </w:rPr>
        <w:t>re-</w:t>
      </w:r>
      <w:r>
        <w:rPr>
          <w:bCs/>
        </w:rPr>
        <w:t xml:space="preserve">used by third parties it </w:t>
      </w:r>
      <w:r w:rsidR="000758E8">
        <w:rPr>
          <w:bCs/>
        </w:rPr>
        <w:t xml:space="preserve">needs to </w:t>
      </w:r>
      <w:r>
        <w:rPr>
          <w:bCs/>
        </w:rPr>
        <w:t xml:space="preserve">be licensed.     </w:t>
      </w:r>
    </w:p>
    <w:p w:rsidR="00387B2A" w:rsidRDefault="00387B2A" w:rsidP="00BB46C5">
      <w:pPr>
        <w:spacing w:after="120" w:line="240" w:lineRule="auto"/>
        <w:rPr>
          <w:bCs/>
        </w:rPr>
      </w:pPr>
      <w:r>
        <w:rPr>
          <w:bCs/>
        </w:rPr>
        <w:t xml:space="preserve">The </w:t>
      </w:r>
      <w:r w:rsidRPr="006C70E3">
        <w:rPr>
          <w:bCs/>
          <w:i/>
        </w:rPr>
        <w:t>Hydrographic Data Policy Best Practise Guidelines for Hydrographic Offices</w:t>
      </w:r>
      <w:r>
        <w:rPr>
          <w:bCs/>
        </w:rPr>
        <w:t xml:space="preserve"> white paper states </w:t>
      </w:r>
      <w:r w:rsidR="00DF6782">
        <w:rPr>
          <w:bCs/>
        </w:rPr>
        <w:t>‘</w:t>
      </w:r>
      <w:r>
        <w:rPr>
          <w:bCs/>
        </w:rPr>
        <w:t xml:space="preserve">fit for purpose hydrographic data and </w:t>
      </w:r>
      <w:r w:rsidR="00DF6782">
        <w:rPr>
          <w:bCs/>
        </w:rPr>
        <w:t>information</w:t>
      </w:r>
      <w:r>
        <w:rPr>
          <w:bCs/>
        </w:rPr>
        <w:t xml:space="preserve"> is essential in underpinning evidence based decision making and asset management enabling governments and the commercial sector to </w:t>
      </w:r>
      <w:r w:rsidR="00DF6782">
        <w:rPr>
          <w:bCs/>
        </w:rPr>
        <w:t>deliver their</w:t>
      </w:r>
      <w:r>
        <w:rPr>
          <w:bCs/>
        </w:rPr>
        <w:t xml:space="preserve"> policy objectives for the marine environment and coastal zone</w:t>
      </w:r>
      <w:r w:rsidR="00DF6782">
        <w:rPr>
          <w:bCs/>
        </w:rPr>
        <w:t>’</w:t>
      </w:r>
      <w:r>
        <w:rPr>
          <w:bCs/>
        </w:rPr>
        <w:t xml:space="preserve">. </w:t>
      </w:r>
      <w:r w:rsidR="00DF6782">
        <w:rPr>
          <w:bCs/>
        </w:rPr>
        <w:t>The paper points out the ‘use of this</w:t>
      </w:r>
      <w:r>
        <w:rPr>
          <w:bCs/>
        </w:rPr>
        <w:t xml:space="preserve"> data outside of navigational products has been limited, but the requirement is growing very swiftly across the </w:t>
      </w:r>
      <w:r w:rsidR="00BC2196">
        <w:rPr>
          <w:bCs/>
        </w:rPr>
        <w:t>world’</w:t>
      </w:r>
      <w:r>
        <w:rPr>
          <w:rStyle w:val="Fodnotehenvisning"/>
          <w:bCs/>
        </w:rPr>
        <w:footnoteReference w:id="4"/>
      </w:r>
      <w:r w:rsidR="00DF6782">
        <w:rPr>
          <w:bCs/>
        </w:rPr>
        <w:t>.</w:t>
      </w:r>
      <w:r>
        <w:rPr>
          <w:bCs/>
        </w:rPr>
        <w:t xml:space="preserve">  </w:t>
      </w:r>
    </w:p>
    <w:p w:rsidR="000758E8" w:rsidRDefault="00DF6782" w:rsidP="000758E8">
      <w:pPr>
        <w:spacing w:after="120" w:line="240" w:lineRule="auto"/>
        <w:rPr>
          <w:bCs/>
        </w:rPr>
      </w:pPr>
      <w:r>
        <w:rPr>
          <w:bCs/>
        </w:rPr>
        <w:t xml:space="preserve">A </w:t>
      </w:r>
      <w:r w:rsidR="006C70E3">
        <w:rPr>
          <w:bCs/>
        </w:rPr>
        <w:t xml:space="preserve">data </w:t>
      </w:r>
      <w:r>
        <w:rPr>
          <w:bCs/>
        </w:rPr>
        <w:t xml:space="preserve">license provides users with legal clarity on how data can be used as well as defining user obligations. </w:t>
      </w:r>
      <w:r w:rsidR="007022A6">
        <w:rPr>
          <w:bCs/>
        </w:rPr>
        <w:t xml:space="preserve">In most jurisdictions there are intellectual property rights that prevent third parties from using, reusing and redistributing data without explicit permission. Even if data is publically available, without a </w:t>
      </w:r>
      <w:r w:rsidR="008518D2">
        <w:rPr>
          <w:bCs/>
        </w:rPr>
        <w:t>license</w:t>
      </w:r>
      <w:r w:rsidR="007022A6">
        <w:rPr>
          <w:bCs/>
        </w:rPr>
        <w:t xml:space="preserve"> a user </w:t>
      </w:r>
      <w:r w:rsidR="0032551B">
        <w:rPr>
          <w:bCs/>
        </w:rPr>
        <w:t>may</w:t>
      </w:r>
      <w:r w:rsidR="007022A6">
        <w:rPr>
          <w:bCs/>
        </w:rPr>
        <w:t xml:space="preserve"> not have permission to access, use, or share it due to copyright laws.  </w:t>
      </w:r>
      <w:r w:rsidR="000758E8">
        <w:rPr>
          <w:bCs/>
        </w:rPr>
        <w:t xml:space="preserve">By applying an open </w:t>
      </w:r>
      <w:proofErr w:type="gramStart"/>
      <w:r w:rsidR="000758E8">
        <w:rPr>
          <w:bCs/>
        </w:rPr>
        <w:t>license</w:t>
      </w:r>
      <w:proofErr w:type="gramEnd"/>
      <w:r w:rsidR="000758E8">
        <w:rPr>
          <w:bCs/>
        </w:rPr>
        <w:t xml:space="preserve"> you enable users the freedom to use your data to experiment, explore and innovate. </w:t>
      </w:r>
    </w:p>
    <w:p w:rsidR="00DF6782" w:rsidRDefault="00DF6782" w:rsidP="00BB46C5">
      <w:pPr>
        <w:spacing w:after="120" w:line="240" w:lineRule="auto"/>
        <w:rPr>
          <w:bCs/>
        </w:rPr>
      </w:pPr>
    </w:p>
    <w:p w:rsidR="007022A6" w:rsidRPr="00F77DFC" w:rsidRDefault="00201AE9" w:rsidP="007022A6">
      <w:pPr>
        <w:pStyle w:val="Listeafsnit"/>
        <w:numPr>
          <w:ilvl w:val="0"/>
          <w:numId w:val="3"/>
        </w:numPr>
        <w:spacing w:after="120" w:line="240" w:lineRule="auto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Selecting a</w:t>
      </w:r>
      <w:r w:rsidR="007022A6">
        <w:rPr>
          <w:b/>
          <w:sz w:val="28"/>
          <w:szCs w:val="28"/>
        </w:rPr>
        <w:t xml:space="preserve"> </w:t>
      </w:r>
      <w:r w:rsidR="00653423">
        <w:rPr>
          <w:b/>
          <w:sz w:val="28"/>
          <w:szCs w:val="28"/>
        </w:rPr>
        <w:t>l</w:t>
      </w:r>
      <w:r w:rsidR="007022A6">
        <w:rPr>
          <w:b/>
          <w:sz w:val="28"/>
          <w:szCs w:val="28"/>
        </w:rPr>
        <w:t>icens</w:t>
      </w:r>
      <w:r>
        <w:rPr>
          <w:b/>
          <w:sz w:val="28"/>
          <w:szCs w:val="28"/>
        </w:rPr>
        <w:t>e</w:t>
      </w:r>
    </w:p>
    <w:p w:rsidR="007022A6" w:rsidRDefault="0032551B" w:rsidP="00BB46C5">
      <w:pPr>
        <w:spacing w:after="120" w:line="240" w:lineRule="auto"/>
        <w:rPr>
          <w:bCs/>
        </w:rPr>
      </w:pPr>
      <w:r>
        <w:rPr>
          <w:bCs/>
        </w:rPr>
        <w:t xml:space="preserve">Data licenses exist on a spectrum from being completely open to being very restrictive. The type of license </w:t>
      </w:r>
      <w:r w:rsidR="00201AE9">
        <w:rPr>
          <w:bCs/>
        </w:rPr>
        <w:t>an</w:t>
      </w:r>
      <w:r>
        <w:rPr>
          <w:bCs/>
        </w:rPr>
        <w:t xml:space="preserve"> organisation assigns will depend on the policies of </w:t>
      </w:r>
      <w:r w:rsidR="00201AE9">
        <w:rPr>
          <w:bCs/>
        </w:rPr>
        <w:t>the</w:t>
      </w:r>
      <w:r>
        <w:rPr>
          <w:bCs/>
        </w:rPr>
        <w:t xml:space="preserve"> individual organisation.  </w:t>
      </w:r>
    </w:p>
    <w:p w:rsidR="00B00D7F" w:rsidRDefault="00B00D7F" w:rsidP="0032551B">
      <w:pPr>
        <w:spacing w:after="120" w:line="240" w:lineRule="auto"/>
        <w:rPr>
          <w:bCs/>
        </w:rPr>
      </w:pPr>
      <w:r>
        <w:rPr>
          <w:bCs/>
        </w:rPr>
        <w:t xml:space="preserve">While some governments </w:t>
      </w:r>
      <w:r w:rsidR="00201AE9">
        <w:rPr>
          <w:bCs/>
        </w:rPr>
        <w:t xml:space="preserve">and organisations </w:t>
      </w:r>
      <w:proofErr w:type="gramStart"/>
      <w:r>
        <w:rPr>
          <w:bCs/>
        </w:rPr>
        <w:t>develop</w:t>
      </w:r>
      <w:proofErr w:type="gramEnd"/>
      <w:r>
        <w:rPr>
          <w:bCs/>
        </w:rPr>
        <w:t xml:space="preserve"> there own </w:t>
      </w:r>
      <w:r w:rsidR="00201AE9">
        <w:rPr>
          <w:bCs/>
        </w:rPr>
        <w:t xml:space="preserve">standard </w:t>
      </w:r>
      <w:r w:rsidR="000758E8">
        <w:rPr>
          <w:bCs/>
        </w:rPr>
        <w:t>licenses and</w:t>
      </w:r>
      <w:r w:rsidR="00201AE9">
        <w:rPr>
          <w:bCs/>
        </w:rPr>
        <w:t xml:space="preserve"> custom </w:t>
      </w:r>
      <w:r>
        <w:rPr>
          <w:bCs/>
        </w:rPr>
        <w:t xml:space="preserve">licenses, </w:t>
      </w:r>
      <w:r w:rsidR="00201AE9">
        <w:rPr>
          <w:bCs/>
        </w:rPr>
        <w:t xml:space="preserve">others adopt internationally recognised licenses </w:t>
      </w:r>
      <w:r w:rsidR="000758E8">
        <w:rPr>
          <w:bCs/>
        </w:rPr>
        <w:t>such as</w:t>
      </w:r>
      <w:r>
        <w:rPr>
          <w:bCs/>
        </w:rPr>
        <w:t xml:space="preserve"> Creative Commons, </w:t>
      </w:r>
      <w:r w:rsidR="00201AE9">
        <w:rPr>
          <w:bCs/>
        </w:rPr>
        <w:t>or Open</w:t>
      </w:r>
      <w:r>
        <w:rPr>
          <w:bCs/>
        </w:rPr>
        <w:t xml:space="preserve"> </w:t>
      </w:r>
      <w:r w:rsidR="00201AE9">
        <w:rPr>
          <w:bCs/>
        </w:rPr>
        <w:t>D</w:t>
      </w:r>
      <w:r>
        <w:rPr>
          <w:bCs/>
        </w:rPr>
        <w:t xml:space="preserve">ata Commons. </w:t>
      </w:r>
    </w:p>
    <w:p w:rsidR="0032551B" w:rsidRDefault="00201AE9" w:rsidP="0032551B">
      <w:pPr>
        <w:spacing w:after="120" w:line="240" w:lineRule="auto"/>
        <w:rPr>
          <w:bCs/>
        </w:rPr>
      </w:pPr>
      <w:r w:rsidRPr="00F77DFC">
        <w:rPr>
          <w:bCs/>
        </w:rPr>
        <w:t xml:space="preserve">If your organisation is new to open </w:t>
      </w:r>
      <w:proofErr w:type="gramStart"/>
      <w:r w:rsidRPr="00F77DFC">
        <w:rPr>
          <w:bCs/>
        </w:rPr>
        <w:t>data</w:t>
      </w:r>
      <w:proofErr w:type="gramEnd"/>
      <w:r w:rsidRPr="00F77DFC">
        <w:rPr>
          <w:bCs/>
        </w:rPr>
        <w:t xml:space="preserve"> you may want to first consider developing an open data policy</w:t>
      </w:r>
      <w:r w:rsidR="00387B2A">
        <w:rPr>
          <w:bCs/>
        </w:rPr>
        <w:t>.</w:t>
      </w:r>
      <w:r w:rsidR="000758E8">
        <w:rPr>
          <w:bCs/>
        </w:rPr>
        <w:t xml:space="preserve"> </w:t>
      </w:r>
      <w:r>
        <w:rPr>
          <w:bCs/>
        </w:rPr>
        <w:t>Other things you need to consider b</w:t>
      </w:r>
      <w:r w:rsidR="0032551B">
        <w:rPr>
          <w:bCs/>
        </w:rPr>
        <w:t xml:space="preserve">efore selecting a </w:t>
      </w:r>
      <w:r w:rsidR="008518D2">
        <w:rPr>
          <w:bCs/>
        </w:rPr>
        <w:t>license</w:t>
      </w:r>
      <w:r>
        <w:rPr>
          <w:bCs/>
        </w:rPr>
        <w:t xml:space="preserve"> include</w:t>
      </w:r>
      <w:r w:rsidR="0032551B">
        <w:rPr>
          <w:bCs/>
        </w:rPr>
        <w:t xml:space="preserve">: </w:t>
      </w:r>
    </w:p>
    <w:p w:rsidR="0032551B" w:rsidRDefault="0032551B" w:rsidP="006C70E3">
      <w:pPr>
        <w:pStyle w:val="Listeafsnit"/>
        <w:numPr>
          <w:ilvl w:val="0"/>
          <w:numId w:val="18"/>
        </w:numPr>
        <w:spacing w:after="120" w:line="240" w:lineRule="auto"/>
        <w:rPr>
          <w:bCs/>
        </w:rPr>
      </w:pPr>
      <w:r>
        <w:rPr>
          <w:bCs/>
        </w:rPr>
        <w:t xml:space="preserve">Do you want to allow commercial use? </w:t>
      </w:r>
    </w:p>
    <w:p w:rsidR="0032551B" w:rsidRDefault="0032551B" w:rsidP="006C70E3">
      <w:pPr>
        <w:pStyle w:val="Listeafsnit"/>
        <w:numPr>
          <w:ilvl w:val="0"/>
          <w:numId w:val="18"/>
        </w:numPr>
        <w:spacing w:after="120" w:line="240" w:lineRule="auto"/>
        <w:rPr>
          <w:bCs/>
        </w:rPr>
      </w:pPr>
      <w:r>
        <w:rPr>
          <w:bCs/>
        </w:rPr>
        <w:t>Do you want to allow derived works?</w:t>
      </w:r>
    </w:p>
    <w:p w:rsidR="0032551B" w:rsidRPr="006374AD" w:rsidRDefault="0032551B" w:rsidP="006C70E3">
      <w:pPr>
        <w:pStyle w:val="Listeafsnit"/>
        <w:numPr>
          <w:ilvl w:val="0"/>
          <w:numId w:val="18"/>
        </w:numPr>
        <w:spacing w:after="120" w:line="240" w:lineRule="auto"/>
        <w:rPr>
          <w:bCs/>
        </w:rPr>
      </w:pPr>
      <w:r>
        <w:rPr>
          <w:bCs/>
        </w:rPr>
        <w:t>Do derived works require the same license?</w:t>
      </w:r>
    </w:p>
    <w:p w:rsidR="00387B2A" w:rsidRDefault="00DF6782" w:rsidP="0032551B">
      <w:pPr>
        <w:spacing w:after="120" w:line="240" w:lineRule="auto"/>
        <w:rPr>
          <w:bCs/>
        </w:rPr>
      </w:pPr>
      <w:r>
        <w:rPr>
          <w:bCs/>
        </w:rPr>
        <w:t xml:space="preserve">When </w:t>
      </w:r>
      <w:r w:rsidR="00653423">
        <w:rPr>
          <w:bCs/>
        </w:rPr>
        <w:t xml:space="preserve">assigning </w:t>
      </w:r>
      <w:r>
        <w:rPr>
          <w:bCs/>
        </w:rPr>
        <w:t xml:space="preserve">a license it is also important to ensure it is easy to access and easy to read.  </w:t>
      </w:r>
    </w:p>
    <w:p w:rsidR="00BC2196" w:rsidRDefault="00BC2196" w:rsidP="0032551B">
      <w:pPr>
        <w:spacing w:after="120" w:line="240" w:lineRule="auto"/>
        <w:rPr>
          <w:bCs/>
        </w:rPr>
      </w:pPr>
    </w:p>
    <w:p w:rsidR="002E6778" w:rsidRPr="006C70E3" w:rsidRDefault="008518D2" w:rsidP="006374AD">
      <w:pPr>
        <w:pStyle w:val="Listeafsnit"/>
        <w:numPr>
          <w:ilvl w:val="0"/>
          <w:numId w:val="3"/>
        </w:numPr>
        <w:spacing w:after="120" w:line="240" w:lineRule="auto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Standard Licenses</w:t>
      </w:r>
      <w:r w:rsidR="004C2E49" w:rsidRPr="006C70E3">
        <w:rPr>
          <w:b/>
          <w:sz w:val="28"/>
          <w:szCs w:val="28"/>
        </w:rPr>
        <w:t xml:space="preserve"> </w:t>
      </w:r>
    </w:p>
    <w:p w:rsidR="00677EA3" w:rsidRPr="00677EA3" w:rsidRDefault="007D34F4" w:rsidP="00E357C6">
      <w:pPr>
        <w:spacing w:after="120" w:line="240" w:lineRule="auto"/>
        <w:rPr>
          <w:rFonts w:eastAsia="Times New Roman" w:cs="Helvetica"/>
          <w:color w:val="333333"/>
          <w:lang w:eastAsia="en-NZ"/>
        </w:rPr>
      </w:pPr>
      <w:r>
        <w:rPr>
          <w:bCs/>
        </w:rPr>
        <w:t>The</w:t>
      </w:r>
      <w:r w:rsidR="0036196D">
        <w:rPr>
          <w:bCs/>
        </w:rPr>
        <w:t xml:space="preserve"> table below </w:t>
      </w:r>
      <w:r w:rsidR="00BC2196">
        <w:rPr>
          <w:bCs/>
        </w:rPr>
        <w:t xml:space="preserve">describes </w:t>
      </w:r>
      <w:r w:rsidR="006333CE">
        <w:rPr>
          <w:bCs/>
        </w:rPr>
        <w:t xml:space="preserve">Creative Commons and Open Data Commons </w:t>
      </w:r>
      <w:r w:rsidR="005F2FCC">
        <w:rPr>
          <w:bCs/>
        </w:rPr>
        <w:t xml:space="preserve">standard </w:t>
      </w:r>
      <w:r w:rsidR="00F12243">
        <w:rPr>
          <w:bCs/>
        </w:rPr>
        <w:t>licenses</w:t>
      </w:r>
      <w:r w:rsidR="00BC2196">
        <w:rPr>
          <w:bCs/>
        </w:rPr>
        <w:t xml:space="preserve">, describing </w:t>
      </w:r>
      <w:r w:rsidR="006333CE">
        <w:rPr>
          <w:bCs/>
        </w:rPr>
        <w:t>which licenses confirm</w:t>
      </w:r>
      <w:r w:rsidR="00F12243">
        <w:rPr>
          <w:bCs/>
        </w:rPr>
        <w:t xml:space="preserve"> to the Open Data </w:t>
      </w:r>
      <w:r w:rsidR="00506CCC">
        <w:rPr>
          <w:bCs/>
        </w:rPr>
        <w:t>Definition</w:t>
      </w:r>
      <w:r w:rsidR="006333CE">
        <w:rPr>
          <w:bCs/>
        </w:rPr>
        <w:t xml:space="preserve"> and other criteria relevant to selecting a license</w:t>
      </w:r>
      <w:r w:rsidR="008518D2">
        <w:rPr>
          <w:bCs/>
        </w:rPr>
        <w:t>.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0"/>
        <w:gridCol w:w="1276"/>
        <w:gridCol w:w="1418"/>
        <w:gridCol w:w="1275"/>
        <w:gridCol w:w="1418"/>
        <w:gridCol w:w="1417"/>
      </w:tblGrid>
      <w:tr w:rsidR="006333CE" w:rsidTr="006C70E3">
        <w:trPr>
          <w:trHeight w:val="1316"/>
        </w:trPr>
        <w:tc>
          <w:tcPr>
            <w:tcW w:w="2910" w:type="dxa"/>
            <w:shd w:val="clear" w:color="auto" w:fill="FFFFFF"/>
            <w:vAlign w:val="center"/>
            <w:hideMark/>
          </w:tcPr>
          <w:p w:rsidR="006333CE" w:rsidRPr="006C70E3" w:rsidRDefault="006333CE">
            <w:pPr>
              <w:spacing w:line="300" w:lineRule="atLeast"/>
              <w:jc w:val="center"/>
              <w:rPr>
                <w:rFonts w:cs="Helvetica"/>
                <w:b/>
                <w:bCs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bCs/>
                <w:color w:val="333333"/>
                <w:sz w:val="20"/>
                <w:szCs w:val="20"/>
              </w:rPr>
              <w:t>License</w:t>
            </w:r>
          </w:p>
        </w:tc>
        <w:tc>
          <w:tcPr>
            <w:tcW w:w="1276" w:type="dxa"/>
            <w:shd w:val="clear" w:color="auto" w:fill="FFFFFF"/>
          </w:tcPr>
          <w:p w:rsidR="006333CE" w:rsidRPr="006C70E3" w:rsidRDefault="006333CE">
            <w:pPr>
              <w:spacing w:line="300" w:lineRule="atLeast"/>
              <w:jc w:val="center"/>
              <w:rPr>
                <w:rFonts w:cs="Helvetica"/>
                <w:b/>
                <w:bCs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bCs/>
                <w:color w:val="333333"/>
                <w:sz w:val="20"/>
                <w:szCs w:val="20"/>
              </w:rPr>
              <w:t xml:space="preserve">Confirm to </w:t>
            </w:r>
            <w:r w:rsidRPr="006C70E3">
              <w:rPr>
                <w:rFonts w:cs="Helvetica"/>
                <w:b/>
                <w:bCs/>
                <w:i/>
                <w:color w:val="333333"/>
                <w:sz w:val="20"/>
                <w:szCs w:val="20"/>
              </w:rPr>
              <w:t>Open Data</w:t>
            </w:r>
            <w:r w:rsidRPr="006C70E3">
              <w:rPr>
                <w:rFonts w:cs="Helvetica"/>
                <w:b/>
                <w:bCs/>
                <w:color w:val="333333"/>
                <w:sz w:val="20"/>
                <w:szCs w:val="20"/>
              </w:rPr>
              <w:t xml:space="preserve"> Definition</w:t>
            </w:r>
          </w:p>
        </w:tc>
        <w:tc>
          <w:tcPr>
            <w:tcW w:w="1418" w:type="dxa"/>
            <w:shd w:val="clear" w:color="auto" w:fill="FFFFFF"/>
          </w:tcPr>
          <w:p w:rsidR="006333CE" w:rsidRPr="006C70E3" w:rsidRDefault="006333CE">
            <w:pPr>
              <w:spacing w:line="300" w:lineRule="atLeast"/>
              <w:jc w:val="center"/>
              <w:rPr>
                <w:rFonts w:cs="Helvetica"/>
                <w:b/>
                <w:bCs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bCs/>
                <w:color w:val="333333"/>
                <w:sz w:val="20"/>
                <w:szCs w:val="20"/>
              </w:rPr>
              <w:t>Allows commercial use</w:t>
            </w:r>
          </w:p>
        </w:tc>
        <w:tc>
          <w:tcPr>
            <w:tcW w:w="1275" w:type="dxa"/>
            <w:shd w:val="clear" w:color="auto" w:fill="FFFFFF"/>
          </w:tcPr>
          <w:p w:rsidR="006333CE" w:rsidRPr="006C70E3" w:rsidRDefault="006333CE">
            <w:pPr>
              <w:spacing w:line="300" w:lineRule="atLeast"/>
              <w:jc w:val="center"/>
              <w:rPr>
                <w:rFonts w:cs="Helvetica"/>
                <w:b/>
                <w:bCs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bCs/>
                <w:color w:val="333333"/>
                <w:sz w:val="20"/>
                <w:szCs w:val="20"/>
              </w:rPr>
              <w:t>Allows derived works</w:t>
            </w:r>
          </w:p>
        </w:tc>
        <w:tc>
          <w:tcPr>
            <w:tcW w:w="1418" w:type="dxa"/>
            <w:shd w:val="clear" w:color="auto" w:fill="FFFFFF"/>
          </w:tcPr>
          <w:p w:rsidR="006333CE" w:rsidRPr="006C70E3" w:rsidRDefault="006333CE">
            <w:pPr>
              <w:spacing w:line="300" w:lineRule="atLeast"/>
              <w:jc w:val="center"/>
              <w:rPr>
                <w:rFonts w:cs="Helvetica"/>
                <w:b/>
                <w:bCs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bCs/>
                <w:color w:val="333333"/>
                <w:sz w:val="20"/>
                <w:szCs w:val="20"/>
              </w:rPr>
              <w:t>Requires same license for derived works (Share-alike)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333CE" w:rsidRPr="006C70E3" w:rsidRDefault="006333CE" w:rsidP="006C70E3">
            <w:pPr>
              <w:tabs>
                <w:tab w:val="left" w:pos="492"/>
              </w:tabs>
              <w:spacing w:line="300" w:lineRule="atLeast"/>
              <w:ind w:right="67"/>
              <w:jc w:val="center"/>
              <w:rPr>
                <w:rFonts w:cs="Helvetica"/>
                <w:b/>
                <w:bCs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bCs/>
                <w:color w:val="333333"/>
                <w:sz w:val="20"/>
                <w:szCs w:val="20"/>
              </w:rPr>
              <w:t>Requires Attribution (BY)</w:t>
            </w:r>
          </w:p>
        </w:tc>
      </w:tr>
      <w:tr w:rsidR="006333CE" w:rsidTr="006C70E3">
        <w:tc>
          <w:tcPr>
            <w:tcW w:w="2910" w:type="dxa"/>
            <w:shd w:val="clear" w:color="auto" w:fill="FFFFFF"/>
            <w:vAlign w:val="center"/>
          </w:tcPr>
          <w:p w:rsidR="006333CE" w:rsidRPr="006C70E3" w:rsidRDefault="00C75AF7">
            <w:pPr>
              <w:spacing w:line="300" w:lineRule="atLeast"/>
              <w:rPr>
                <w:bCs/>
                <w:sz w:val="20"/>
                <w:szCs w:val="20"/>
              </w:rPr>
            </w:pPr>
            <w:hyperlink r:id="rId9" w:history="1">
              <w:r w:rsidR="006333CE" w:rsidRPr="006C70E3">
                <w:rPr>
                  <w:bCs/>
                  <w:sz w:val="20"/>
                  <w:szCs w:val="20"/>
                </w:rPr>
                <w:t xml:space="preserve">Creative Commons </w:t>
              </w:r>
            </w:hyperlink>
            <w:r w:rsidR="006333CE" w:rsidRPr="006C70E3">
              <w:rPr>
                <w:b/>
                <w:bCs/>
                <w:sz w:val="20"/>
                <w:szCs w:val="20"/>
              </w:rPr>
              <w:t>CC-BY</w:t>
            </w:r>
          </w:p>
        </w:tc>
        <w:tc>
          <w:tcPr>
            <w:tcW w:w="1276" w:type="dxa"/>
            <w:shd w:val="clear" w:color="auto" w:fill="FFFFFF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b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FFFFFF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FFFFFF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b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FFFFF"/>
          </w:tcPr>
          <w:p w:rsidR="006333CE" w:rsidRPr="006C70E3" w:rsidRDefault="006333CE" w:rsidP="006C70E3">
            <w:pPr>
              <w:tabs>
                <w:tab w:val="left" w:pos="492"/>
              </w:tabs>
              <w:spacing w:line="300" w:lineRule="atLeast"/>
              <w:ind w:right="67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</w:tr>
      <w:tr w:rsidR="006333CE" w:rsidTr="006C70E3">
        <w:tc>
          <w:tcPr>
            <w:tcW w:w="2910" w:type="dxa"/>
            <w:shd w:val="clear" w:color="auto" w:fill="FFFFFF"/>
            <w:vAlign w:val="center"/>
          </w:tcPr>
          <w:p w:rsidR="006333CE" w:rsidRPr="006C70E3" w:rsidRDefault="00C75AF7">
            <w:pPr>
              <w:spacing w:line="300" w:lineRule="atLeast"/>
              <w:rPr>
                <w:bCs/>
                <w:sz w:val="20"/>
                <w:szCs w:val="20"/>
              </w:rPr>
            </w:pPr>
            <w:hyperlink r:id="rId10" w:history="1">
              <w:r w:rsidR="006333CE" w:rsidRPr="006C70E3">
                <w:rPr>
                  <w:bCs/>
                  <w:sz w:val="20"/>
                  <w:szCs w:val="20"/>
                </w:rPr>
                <w:t xml:space="preserve">Creative Commons </w:t>
              </w:r>
            </w:hyperlink>
            <w:r w:rsidR="006333CE" w:rsidRPr="006C70E3">
              <w:rPr>
                <w:b/>
                <w:bCs/>
                <w:sz w:val="20"/>
                <w:szCs w:val="20"/>
              </w:rPr>
              <w:t>CC-BY-SA</w:t>
            </w:r>
          </w:p>
        </w:tc>
        <w:tc>
          <w:tcPr>
            <w:tcW w:w="1276" w:type="dxa"/>
            <w:shd w:val="clear" w:color="auto" w:fill="FFFFFF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FFFFFF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FFFFFF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FFFF"/>
          </w:tcPr>
          <w:p w:rsidR="006333CE" w:rsidRPr="006C70E3" w:rsidRDefault="006333CE" w:rsidP="006C70E3">
            <w:pPr>
              <w:tabs>
                <w:tab w:val="left" w:pos="492"/>
              </w:tabs>
              <w:spacing w:line="300" w:lineRule="atLeast"/>
              <w:ind w:right="67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</w:tr>
      <w:tr w:rsidR="006333CE" w:rsidTr="006C70E3">
        <w:tc>
          <w:tcPr>
            <w:tcW w:w="2910" w:type="dxa"/>
            <w:shd w:val="clear" w:color="auto" w:fill="FFFFFF"/>
            <w:vAlign w:val="center"/>
          </w:tcPr>
          <w:p w:rsidR="006333CE" w:rsidRPr="006C70E3" w:rsidRDefault="00C75AF7">
            <w:pPr>
              <w:spacing w:line="300" w:lineRule="atLeast"/>
              <w:rPr>
                <w:bCs/>
                <w:sz w:val="20"/>
                <w:szCs w:val="20"/>
              </w:rPr>
            </w:pPr>
            <w:hyperlink r:id="rId11" w:history="1">
              <w:r w:rsidR="006333CE" w:rsidRPr="006C70E3">
                <w:rPr>
                  <w:bCs/>
                  <w:sz w:val="20"/>
                  <w:szCs w:val="20"/>
                </w:rPr>
                <w:t xml:space="preserve">Creative Commons </w:t>
              </w:r>
            </w:hyperlink>
            <w:r w:rsidR="006333CE" w:rsidRPr="006C70E3">
              <w:rPr>
                <w:b/>
                <w:bCs/>
                <w:sz w:val="20"/>
                <w:szCs w:val="20"/>
              </w:rPr>
              <w:t>CC-BY-ND</w:t>
            </w:r>
          </w:p>
        </w:tc>
        <w:tc>
          <w:tcPr>
            <w:tcW w:w="1276" w:type="dxa"/>
            <w:shd w:val="clear" w:color="auto" w:fill="FFFFFF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1417" w:type="dxa"/>
            <w:shd w:val="clear" w:color="auto" w:fill="FFFFFF"/>
          </w:tcPr>
          <w:p w:rsidR="006333CE" w:rsidRPr="006C70E3" w:rsidRDefault="006333CE" w:rsidP="006C70E3">
            <w:pPr>
              <w:tabs>
                <w:tab w:val="left" w:pos="492"/>
              </w:tabs>
              <w:spacing w:line="300" w:lineRule="atLeast"/>
              <w:ind w:right="67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</w:tr>
      <w:tr w:rsidR="006333CE" w:rsidTr="006C70E3">
        <w:tc>
          <w:tcPr>
            <w:tcW w:w="2910" w:type="dxa"/>
            <w:shd w:val="clear" w:color="auto" w:fill="FFFFFF"/>
            <w:vAlign w:val="center"/>
          </w:tcPr>
          <w:p w:rsidR="006333CE" w:rsidRPr="006C70E3" w:rsidRDefault="00C75AF7">
            <w:pPr>
              <w:spacing w:line="300" w:lineRule="atLeast"/>
              <w:rPr>
                <w:bCs/>
                <w:sz w:val="20"/>
                <w:szCs w:val="20"/>
              </w:rPr>
            </w:pPr>
            <w:hyperlink r:id="rId12" w:history="1">
              <w:r w:rsidR="006333CE" w:rsidRPr="006C70E3">
                <w:rPr>
                  <w:bCs/>
                  <w:sz w:val="20"/>
                  <w:szCs w:val="20"/>
                </w:rPr>
                <w:t xml:space="preserve">Creative Commons </w:t>
              </w:r>
            </w:hyperlink>
            <w:r w:rsidR="006333CE" w:rsidRPr="006C70E3">
              <w:rPr>
                <w:b/>
                <w:bCs/>
                <w:sz w:val="20"/>
                <w:szCs w:val="20"/>
              </w:rPr>
              <w:t>CC-BY-NC</w:t>
            </w:r>
          </w:p>
        </w:tc>
        <w:tc>
          <w:tcPr>
            <w:tcW w:w="1276" w:type="dxa"/>
            <w:shd w:val="clear" w:color="auto" w:fill="FFFFFF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FFFFF"/>
          </w:tcPr>
          <w:p w:rsidR="006333CE" w:rsidRPr="006C70E3" w:rsidRDefault="006333CE" w:rsidP="006C70E3">
            <w:pPr>
              <w:tabs>
                <w:tab w:val="left" w:pos="492"/>
              </w:tabs>
              <w:spacing w:line="300" w:lineRule="atLeast"/>
              <w:ind w:right="67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</w:tr>
      <w:tr w:rsidR="006333CE" w:rsidTr="006C70E3">
        <w:tc>
          <w:tcPr>
            <w:tcW w:w="2910" w:type="dxa"/>
            <w:shd w:val="clear" w:color="auto" w:fill="FFFFFF"/>
            <w:vAlign w:val="center"/>
          </w:tcPr>
          <w:p w:rsidR="006333CE" w:rsidRPr="006C70E3" w:rsidRDefault="00C75AF7" w:rsidP="009A4C25">
            <w:pPr>
              <w:spacing w:line="300" w:lineRule="atLeast"/>
              <w:rPr>
                <w:bCs/>
                <w:sz w:val="20"/>
                <w:szCs w:val="20"/>
              </w:rPr>
            </w:pPr>
            <w:hyperlink r:id="rId13" w:history="1">
              <w:r w:rsidR="006333CE" w:rsidRPr="006C70E3">
                <w:rPr>
                  <w:bCs/>
                  <w:sz w:val="20"/>
                  <w:szCs w:val="20"/>
                </w:rPr>
                <w:t xml:space="preserve">Creative Commons </w:t>
              </w:r>
            </w:hyperlink>
            <w:r w:rsidR="006333CE" w:rsidRPr="006C70E3">
              <w:rPr>
                <w:b/>
                <w:bCs/>
                <w:sz w:val="20"/>
                <w:szCs w:val="20"/>
              </w:rPr>
              <w:t>CC-BY-NC-SA</w:t>
            </w:r>
          </w:p>
        </w:tc>
        <w:tc>
          <w:tcPr>
            <w:tcW w:w="1276" w:type="dxa"/>
            <w:shd w:val="clear" w:color="auto" w:fill="FFFFFF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1275" w:type="dxa"/>
            <w:shd w:val="clear" w:color="auto" w:fill="FFFFFF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FFFFFF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FFFF"/>
          </w:tcPr>
          <w:p w:rsidR="006333CE" w:rsidRPr="006C70E3" w:rsidRDefault="006333CE" w:rsidP="006C70E3">
            <w:pPr>
              <w:tabs>
                <w:tab w:val="left" w:pos="492"/>
              </w:tabs>
              <w:spacing w:line="300" w:lineRule="atLeast"/>
              <w:ind w:right="67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</w:tr>
      <w:tr w:rsidR="006333CE" w:rsidTr="006C70E3">
        <w:tc>
          <w:tcPr>
            <w:tcW w:w="2910" w:type="dxa"/>
            <w:shd w:val="clear" w:color="auto" w:fill="FFFFFF"/>
            <w:vAlign w:val="center"/>
          </w:tcPr>
          <w:p w:rsidR="006333CE" w:rsidRPr="006C70E3" w:rsidRDefault="00C75AF7">
            <w:pPr>
              <w:spacing w:line="300" w:lineRule="atLeast"/>
              <w:rPr>
                <w:bCs/>
                <w:sz w:val="20"/>
                <w:szCs w:val="20"/>
              </w:rPr>
            </w:pPr>
            <w:hyperlink r:id="rId14" w:history="1">
              <w:r w:rsidR="006333CE" w:rsidRPr="006C70E3">
                <w:rPr>
                  <w:bCs/>
                  <w:sz w:val="20"/>
                  <w:szCs w:val="20"/>
                </w:rPr>
                <w:t xml:space="preserve">Creative Commons </w:t>
              </w:r>
            </w:hyperlink>
            <w:r w:rsidR="006333CE" w:rsidRPr="006C70E3">
              <w:rPr>
                <w:b/>
                <w:bCs/>
                <w:sz w:val="20"/>
                <w:szCs w:val="20"/>
              </w:rPr>
              <w:t>CC-BY-NC-ND</w:t>
            </w:r>
          </w:p>
        </w:tc>
        <w:tc>
          <w:tcPr>
            <w:tcW w:w="1276" w:type="dxa"/>
            <w:shd w:val="clear" w:color="auto" w:fill="FFFFFF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1418" w:type="dxa"/>
            <w:shd w:val="clear" w:color="auto" w:fill="FFFFFF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1275" w:type="dxa"/>
            <w:shd w:val="clear" w:color="auto" w:fill="FFFFFF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1417" w:type="dxa"/>
            <w:shd w:val="clear" w:color="auto" w:fill="FFFFFF"/>
          </w:tcPr>
          <w:p w:rsidR="006333CE" w:rsidRPr="006C70E3" w:rsidRDefault="006333CE" w:rsidP="006C70E3">
            <w:pPr>
              <w:tabs>
                <w:tab w:val="left" w:pos="492"/>
              </w:tabs>
              <w:spacing w:line="300" w:lineRule="atLeast"/>
              <w:ind w:right="67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</w:tr>
      <w:tr w:rsidR="006333CE" w:rsidTr="006C70E3">
        <w:tc>
          <w:tcPr>
            <w:tcW w:w="2910" w:type="dxa"/>
            <w:shd w:val="clear" w:color="auto" w:fill="FFFFFF"/>
            <w:vAlign w:val="center"/>
          </w:tcPr>
          <w:p w:rsidR="006333CE" w:rsidRPr="006C70E3" w:rsidRDefault="00C75AF7">
            <w:pPr>
              <w:spacing w:line="300" w:lineRule="atLeast"/>
              <w:rPr>
                <w:bCs/>
                <w:sz w:val="20"/>
                <w:szCs w:val="20"/>
              </w:rPr>
            </w:pPr>
            <w:hyperlink r:id="rId15" w:history="1">
              <w:r w:rsidR="006333CE" w:rsidRPr="006C70E3">
                <w:rPr>
                  <w:bCs/>
                  <w:sz w:val="20"/>
                  <w:szCs w:val="20"/>
                </w:rPr>
                <w:t xml:space="preserve">Creative Commons </w:t>
              </w:r>
            </w:hyperlink>
            <w:r w:rsidR="006333CE" w:rsidRPr="006C70E3">
              <w:rPr>
                <w:b/>
                <w:bCs/>
                <w:sz w:val="20"/>
                <w:szCs w:val="20"/>
              </w:rPr>
              <w:t>CC0</w:t>
            </w:r>
          </w:p>
        </w:tc>
        <w:tc>
          <w:tcPr>
            <w:tcW w:w="1276" w:type="dxa"/>
            <w:shd w:val="clear" w:color="auto" w:fill="FFFFFF"/>
          </w:tcPr>
          <w:p w:rsidR="006333CE" w:rsidRPr="006C70E3" w:rsidRDefault="006333CE" w:rsidP="005975FC">
            <w:pPr>
              <w:spacing w:line="300" w:lineRule="atLeast"/>
              <w:jc w:val="center"/>
              <w:rPr>
                <w:rFonts w:cs="Helvetica"/>
                <w:b/>
                <w:color w:val="FF0000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FFFFFF"/>
          </w:tcPr>
          <w:p w:rsidR="006333CE" w:rsidRPr="006C70E3" w:rsidRDefault="006333CE" w:rsidP="005975FC">
            <w:pPr>
              <w:spacing w:line="300" w:lineRule="atLeast"/>
              <w:jc w:val="center"/>
              <w:rPr>
                <w:rFonts w:cs="Helvetica"/>
                <w:b/>
                <w:color w:val="FF0000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FFFFFF"/>
          </w:tcPr>
          <w:p w:rsidR="006333CE" w:rsidRPr="006C70E3" w:rsidRDefault="006333CE" w:rsidP="005975FC">
            <w:pPr>
              <w:spacing w:line="300" w:lineRule="atLeast"/>
              <w:jc w:val="center"/>
              <w:rPr>
                <w:rFonts w:cs="Helvetica"/>
                <w:b/>
                <w:color w:val="FF0000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333CE" w:rsidRPr="006C70E3" w:rsidRDefault="006333CE" w:rsidP="005975FC">
            <w:pPr>
              <w:spacing w:line="300" w:lineRule="atLeast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FFFFF"/>
          </w:tcPr>
          <w:p w:rsidR="006333CE" w:rsidRPr="006C70E3" w:rsidRDefault="006333CE" w:rsidP="006C70E3">
            <w:pPr>
              <w:tabs>
                <w:tab w:val="left" w:pos="492"/>
              </w:tabs>
              <w:spacing w:line="300" w:lineRule="atLeast"/>
              <w:ind w:right="67"/>
              <w:jc w:val="center"/>
              <w:rPr>
                <w:rFonts w:cs="Helvetica"/>
                <w:b/>
                <w:color w:val="00B050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FF0000"/>
                <w:sz w:val="20"/>
                <w:szCs w:val="20"/>
              </w:rPr>
              <w:t>NO</w:t>
            </w:r>
          </w:p>
        </w:tc>
      </w:tr>
      <w:tr w:rsidR="006333CE" w:rsidTr="006C70E3">
        <w:tc>
          <w:tcPr>
            <w:tcW w:w="2910" w:type="dxa"/>
            <w:shd w:val="clear" w:color="auto" w:fill="FFFFFF"/>
            <w:vAlign w:val="center"/>
          </w:tcPr>
          <w:p w:rsidR="006333CE" w:rsidRPr="006C70E3" w:rsidRDefault="00C75AF7">
            <w:pPr>
              <w:spacing w:line="300" w:lineRule="atLeast"/>
              <w:rPr>
                <w:bCs/>
                <w:sz w:val="20"/>
                <w:szCs w:val="20"/>
              </w:rPr>
            </w:pPr>
            <w:hyperlink r:id="rId16" w:history="1">
              <w:r w:rsidR="006333CE" w:rsidRPr="006C70E3">
                <w:rPr>
                  <w:bCs/>
                  <w:sz w:val="20"/>
                  <w:szCs w:val="20"/>
                </w:rPr>
                <w:t>Open Data Commons</w:t>
              </w:r>
            </w:hyperlink>
            <w:r w:rsidR="006333CE" w:rsidRPr="006C70E3">
              <w:rPr>
                <w:bCs/>
                <w:sz w:val="20"/>
                <w:szCs w:val="20"/>
              </w:rPr>
              <w:t xml:space="preserve"> </w:t>
            </w:r>
            <w:r w:rsidR="006333CE" w:rsidRPr="006C70E3">
              <w:rPr>
                <w:b/>
                <w:bCs/>
                <w:sz w:val="20"/>
                <w:szCs w:val="20"/>
              </w:rPr>
              <w:t>ODC-BY</w:t>
            </w:r>
          </w:p>
        </w:tc>
        <w:tc>
          <w:tcPr>
            <w:tcW w:w="1276" w:type="dxa"/>
            <w:shd w:val="clear" w:color="auto" w:fill="FFFFFF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bCs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FFFFFF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bCs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FFFFFF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bCs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bCs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FFFFF"/>
          </w:tcPr>
          <w:p w:rsidR="006333CE" w:rsidRPr="006C70E3" w:rsidRDefault="006333CE" w:rsidP="006C70E3">
            <w:pPr>
              <w:tabs>
                <w:tab w:val="left" w:pos="492"/>
              </w:tabs>
              <w:spacing w:line="300" w:lineRule="atLeast"/>
              <w:ind w:right="67"/>
              <w:jc w:val="center"/>
              <w:rPr>
                <w:bCs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</w:tr>
      <w:tr w:rsidR="006333CE" w:rsidTr="006C70E3">
        <w:tc>
          <w:tcPr>
            <w:tcW w:w="2910" w:type="dxa"/>
            <w:shd w:val="clear" w:color="auto" w:fill="FFFFFF"/>
            <w:vAlign w:val="center"/>
          </w:tcPr>
          <w:p w:rsidR="006333CE" w:rsidRPr="006C70E3" w:rsidRDefault="00C75AF7">
            <w:pPr>
              <w:spacing w:line="300" w:lineRule="atLeast"/>
              <w:rPr>
                <w:bCs/>
                <w:sz w:val="20"/>
                <w:szCs w:val="20"/>
              </w:rPr>
            </w:pPr>
            <w:hyperlink r:id="rId17" w:history="1">
              <w:r w:rsidR="006333CE" w:rsidRPr="006C70E3">
                <w:rPr>
                  <w:bCs/>
                  <w:sz w:val="20"/>
                  <w:szCs w:val="20"/>
                </w:rPr>
                <w:t>Open Data Commons</w:t>
              </w:r>
            </w:hyperlink>
            <w:r w:rsidR="006333CE" w:rsidRPr="006C70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333CE" w:rsidRPr="006C70E3">
              <w:rPr>
                <w:b/>
                <w:bCs/>
                <w:sz w:val="20"/>
                <w:szCs w:val="20"/>
              </w:rPr>
              <w:t>ODbL</w:t>
            </w:r>
            <w:proofErr w:type="spellEnd"/>
            <w:r w:rsidR="006333CE" w:rsidRPr="006C70E3">
              <w:rPr>
                <w:b/>
                <w:bCs/>
                <w:sz w:val="20"/>
                <w:szCs w:val="20"/>
              </w:rPr>
              <w:t>-BY</w:t>
            </w:r>
          </w:p>
        </w:tc>
        <w:tc>
          <w:tcPr>
            <w:tcW w:w="1276" w:type="dxa"/>
            <w:shd w:val="clear" w:color="auto" w:fill="FFFFFF"/>
          </w:tcPr>
          <w:p w:rsidR="006333CE" w:rsidRPr="006C70E3" w:rsidRDefault="006333CE" w:rsidP="0036196D">
            <w:pPr>
              <w:spacing w:line="300" w:lineRule="atLeast"/>
              <w:jc w:val="center"/>
              <w:rPr>
                <w:rFonts w:cs="Helvetica"/>
                <w:b/>
                <w:color w:val="00B050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FFFFFF"/>
          </w:tcPr>
          <w:p w:rsidR="006333CE" w:rsidRPr="006C70E3" w:rsidRDefault="006333CE" w:rsidP="0036196D">
            <w:pPr>
              <w:spacing w:line="300" w:lineRule="atLeast"/>
              <w:jc w:val="center"/>
              <w:rPr>
                <w:rFonts w:cs="Helvetica"/>
                <w:b/>
                <w:color w:val="00B050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FFFFFF"/>
          </w:tcPr>
          <w:p w:rsidR="006333CE" w:rsidRPr="006C70E3" w:rsidRDefault="006333CE" w:rsidP="0036196D">
            <w:pPr>
              <w:spacing w:line="300" w:lineRule="atLeast"/>
              <w:jc w:val="center"/>
              <w:rPr>
                <w:rFonts w:cs="Helvetica"/>
                <w:b/>
                <w:color w:val="00B050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333CE" w:rsidRPr="006C70E3" w:rsidRDefault="006333CE" w:rsidP="0036196D">
            <w:pPr>
              <w:spacing w:line="300" w:lineRule="atLeast"/>
              <w:jc w:val="center"/>
              <w:rPr>
                <w:rFonts w:cs="Helvetica"/>
                <w:b/>
                <w:color w:val="FF0000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FFFF"/>
          </w:tcPr>
          <w:p w:rsidR="006333CE" w:rsidRPr="006C70E3" w:rsidRDefault="006333CE" w:rsidP="006C70E3">
            <w:pPr>
              <w:tabs>
                <w:tab w:val="left" w:pos="492"/>
              </w:tabs>
              <w:spacing w:line="300" w:lineRule="atLeast"/>
              <w:ind w:right="67"/>
              <w:jc w:val="center"/>
              <w:rPr>
                <w:rFonts w:cs="Helvetica"/>
                <w:b/>
                <w:color w:val="00B050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</w:tr>
      <w:tr w:rsidR="006333CE" w:rsidTr="006C70E3">
        <w:tc>
          <w:tcPr>
            <w:tcW w:w="2910" w:type="dxa"/>
            <w:shd w:val="clear" w:color="auto" w:fill="FFFFFF"/>
            <w:vAlign w:val="center"/>
            <w:hideMark/>
          </w:tcPr>
          <w:p w:rsidR="006333CE" w:rsidRPr="006C70E3" w:rsidRDefault="00C75AF7">
            <w:pPr>
              <w:spacing w:line="300" w:lineRule="atLeast"/>
              <w:rPr>
                <w:rFonts w:cs="Helvetica"/>
                <w:color w:val="333333"/>
                <w:sz w:val="20"/>
                <w:szCs w:val="20"/>
              </w:rPr>
            </w:pPr>
            <w:hyperlink r:id="rId18" w:history="1">
              <w:r w:rsidR="006333CE" w:rsidRPr="006C70E3">
                <w:rPr>
                  <w:bCs/>
                  <w:sz w:val="20"/>
                  <w:szCs w:val="20"/>
                </w:rPr>
                <w:t xml:space="preserve">Open Data Commons </w:t>
              </w:r>
            </w:hyperlink>
            <w:r w:rsidR="006333CE" w:rsidRPr="006C70E3">
              <w:rPr>
                <w:b/>
                <w:bCs/>
                <w:sz w:val="20"/>
                <w:szCs w:val="20"/>
              </w:rPr>
              <w:t>PDDL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b/>
                <w:color w:val="00B050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b/>
                <w:color w:val="00B050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b/>
                <w:color w:val="00B050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333CE" w:rsidRPr="006C70E3" w:rsidRDefault="006333CE" w:rsidP="006C70E3">
            <w:pPr>
              <w:spacing w:line="300" w:lineRule="atLeast"/>
              <w:jc w:val="center"/>
              <w:rPr>
                <w:rFonts w:cs="Helvetica"/>
                <w:b/>
                <w:color w:val="FF0000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333CE" w:rsidRPr="006C70E3" w:rsidRDefault="006333CE" w:rsidP="006C70E3">
            <w:pPr>
              <w:tabs>
                <w:tab w:val="left" w:pos="492"/>
              </w:tabs>
              <w:spacing w:line="300" w:lineRule="atLeast"/>
              <w:ind w:right="67"/>
              <w:jc w:val="center"/>
              <w:rPr>
                <w:rFonts w:cs="Helvetica"/>
                <w:b/>
                <w:color w:val="FF0000"/>
                <w:sz w:val="20"/>
                <w:szCs w:val="20"/>
              </w:rPr>
            </w:pPr>
            <w:r w:rsidRPr="006C70E3">
              <w:rPr>
                <w:rFonts w:cs="Helvetica"/>
                <w:b/>
                <w:color w:val="FF0000"/>
                <w:sz w:val="20"/>
                <w:szCs w:val="20"/>
              </w:rPr>
              <w:t>NO</w:t>
            </w:r>
          </w:p>
        </w:tc>
      </w:tr>
    </w:tbl>
    <w:p w:rsidR="006333CE" w:rsidRDefault="006333CE" w:rsidP="00F61B7A">
      <w:pPr>
        <w:spacing w:after="120" w:line="240" w:lineRule="auto"/>
      </w:pPr>
    </w:p>
    <w:p w:rsidR="00146035" w:rsidRDefault="00BC2196" w:rsidP="00F61B7A">
      <w:pPr>
        <w:spacing w:after="120" w:line="240" w:lineRule="auto"/>
        <w:rPr>
          <w:bCs/>
        </w:rPr>
      </w:pPr>
      <w:r>
        <w:rPr>
          <w:bCs/>
        </w:rPr>
        <w:t>For detailed information refer to the Creative Commons</w:t>
      </w:r>
      <w:r>
        <w:rPr>
          <w:rStyle w:val="Fodnotehenvisning"/>
          <w:bCs/>
        </w:rPr>
        <w:footnoteReference w:id="5"/>
      </w:r>
      <w:r>
        <w:rPr>
          <w:bCs/>
        </w:rPr>
        <w:t xml:space="preserve"> website and the Open Data Commons</w:t>
      </w:r>
      <w:r>
        <w:rPr>
          <w:rStyle w:val="Fodnotehenvisning"/>
          <w:bCs/>
        </w:rPr>
        <w:footnoteReference w:id="6"/>
      </w:r>
      <w:r>
        <w:rPr>
          <w:bCs/>
        </w:rPr>
        <w:t xml:space="preserve"> website. </w:t>
      </w:r>
    </w:p>
    <w:p w:rsidR="009C55AF" w:rsidRDefault="009C55AF">
      <w:pPr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</w:pPr>
      <w:r>
        <w:rPr>
          <w:b/>
        </w:rPr>
        <w:br w:type="page"/>
      </w:r>
    </w:p>
    <w:p w:rsidR="00FD5FC1" w:rsidRPr="005A03A5" w:rsidRDefault="00677EA3" w:rsidP="005E3DB3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A03A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References:</w:t>
      </w:r>
    </w:p>
    <w:p w:rsidR="00146035" w:rsidRPr="006C70E3" w:rsidRDefault="00146035" w:rsidP="006C70E3">
      <w:pPr>
        <w:pStyle w:val="NormalWeb"/>
        <w:shd w:val="clear" w:color="auto" w:fill="FFFFFF"/>
        <w:spacing w:before="0" w:beforeAutospacing="0" w:after="120" w:afterAutospacing="0"/>
        <w:ind w:left="284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5A2AD6" w:rsidRPr="006C70E3" w:rsidRDefault="005A2AD6" w:rsidP="005A2AD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284" w:hanging="284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C70E3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Creative Commons </w:t>
      </w:r>
      <w:hyperlink r:id="rId19" w:history="1">
        <w:r w:rsidRPr="006C70E3">
          <w:rPr>
            <w:rFonts w:asciiTheme="minorHAnsi" w:eastAsiaTheme="minorHAnsi" w:hAnsiTheme="minorHAnsi"/>
            <w:sz w:val="18"/>
            <w:szCs w:val="18"/>
          </w:rPr>
          <w:t>https://creativecommons.org/</w:t>
        </w:r>
      </w:hyperlink>
      <w:r w:rsidRPr="006C70E3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</w:p>
    <w:p w:rsidR="005A2AD6" w:rsidRPr="006C70E3" w:rsidRDefault="005A2AD6" w:rsidP="005A2AD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284" w:hanging="284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C70E3">
        <w:rPr>
          <w:rFonts w:asciiTheme="minorHAnsi" w:eastAsiaTheme="minorHAnsi" w:hAnsiTheme="minorHAnsi" w:cstheme="minorBidi"/>
          <w:sz w:val="18"/>
          <w:szCs w:val="18"/>
          <w:lang w:eastAsia="en-US"/>
        </w:rPr>
        <w:t>DCC http://www.dcc.ac.uk/resources/how-guides/license-research-data</w:t>
      </w:r>
    </w:p>
    <w:p w:rsidR="005A2AD6" w:rsidRPr="006C70E3" w:rsidRDefault="005A2AD6" w:rsidP="005A2AD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284" w:hanging="284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C70E3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European Data Portal </w:t>
      </w:r>
      <w:hyperlink r:id="rId20" w:anchor="/id/co-01" w:history="1">
        <w:r w:rsidRPr="006C70E3">
          <w:rPr>
            <w:rFonts w:asciiTheme="minorHAnsi" w:eastAsiaTheme="minorHAnsi" w:hAnsiTheme="minorHAnsi"/>
            <w:sz w:val="18"/>
            <w:szCs w:val="18"/>
          </w:rPr>
          <w:t>https://www.europeandataportal.eu/elearning/en/module4/#/id/co-01</w:t>
        </w:r>
      </w:hyperlink>
    </w:p>
    <w:p w:rsidR="005A2AD6" w:rsidRPr="006C70E3" w:rsidRDefault="005A2AD6" w:rsidP="005A2AD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284" w:hanging="284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C70E3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IHO Hydrographic Data Policy Best Practise Guidelines for Hydrographic Offices </w:t>
      </w:r>
      <w:hyperlink r:id="rId21" w:history="1">
        <w:r w:rsidRPr="006C70E3">
          <w:rPr>
            <w:rFonts w:asciiTheme="minorHAnsi" w:eastAsiaTheme="minorHAnsi" w:hAnsiTheme="minorHAnsi" w:cstheme="minorBidi"/>
            <w:sz w:val="18"/>
            <w:szCs w:val="18"/>
            <w:lang w:eastAsia="en-US"/>
          </w:rPr>
          <w:t>https://www.iho.int/mtg_docs/com_wg/MSDIWG/MSDIWG_Misc/Marine_SDI_Documents/SDI_Hydrographic_Data_Policy.pdf</w:t>
        </w:r>
      </w:hyperlink>
    </w:p>
    <w:p w:rsidR="005A2AD6" w:rsidRPr="006C70E3" w:rsidRDefault="005A2AD6" w:rsidP="005A2AD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284" w:hanging="284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C70E3">
        <w:rPr>
          <w:rFonts w:asciiTheme="minorHAnsi" w:eastAsiaTheme="minorHAnsi" w:hAnsiTheme="minorHAnsi" w:cstheme="minorBidi"/>
          <w:sz w:val="18"/>
          <w:szCs w:val="18"/>
          <w:lang w:eastAsia="en-US"/>
        </w:rPr>
        <w:t>IHO - The Hydrographic and Oceanographic Dimension to Marine Spatial Data Infrastructure Development: “Developing the capability” https://www.iho.int/mtg_docs/com_wg/MSDIWG/MSDIWG_Misc/Marine_SDI_Documents/MSDI_white_paper.pdf</w:t>
      </w:r>
    </w:p>
    <w:p w:rsidR="005A2AD6" w:rsidRPr="006C70E3" w:rsidRDefault="005A2AD6" w:rsidP="006C70E3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284" w:hanging="284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C70E3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Open Data Commons </w:t>
      </w:r>
      <w:r w:rsidRPr="006C70E3">
        <w:rPr>
          <w:rFonts w:asciiTheme="minorHAnsi" w:hAnsiTheme="minorHAnsi"/>
          <w:sz w:val="18"/>
          <w:szCs w:val="18"/>
        </w:rPr>
        <w:t>https://opendatacommons.org/</w:t>
      </w:r>
    </w:p>
    <w:p w:rsidR="00677EA3" w:rsidRPr="006C70E3" w:rsidRDefault="00677EA3" w:rsidP="006C70E3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284" w:hanging="284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C70E3">
        <w:rPr>
          <w:rFonts w:asciiTheme="minorHAnsi" w:hAnsiTheme="minorHAnsi"/>
          <w:sz w:val="18"/>
          <w:szCs w:val="18"/>
        </w:rPr>
        <w:t>Open Definition</w:t>
      </w:r>
      <w:r w:rsidR="00BC2196" w:rsidRPr="006C70E3">
        <w:rPr>
          <w:rFonts w:asciiTheme="minorHAnsi" w:hAnsiTheme="minorHAnsi"/>
          <w:sz w:val="18"/>
          <w:szCs w:val="18"/>
        </w:rPr>
        <w:t xml:space="preserve"> </w:t>
      </w:r>
      <w:hyperlink r:id="rId22" w:history="1">
        <w:r w:rsidRPr="006C70E3">
          <w:rPr>
            <w:rFonts w:asciiTheme="minorHAnsi" w:eastAsiaTheme="minorHAnsi" w:hAnsiTheme="minorHAnsi"/>
            <w:sz w:val="18"/>
            <w:szCs w:val="18"/>
          </w:rPr>
          <w:t>https://opendefinition.org/guide/data/</w:t>
        </w:r>
      </w:hyperlink>
    </w:p>
    <w:p w:rsidR="00146035" w:rsidRPr="006C70E3" w:rsidRDefault="00146035" w:rsidP="006C70E3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284" w:hanging="284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C70E3">
        <w:rPr>
          <w:rFonts w:asciiTheme="minorHAnsi" w:hAnsiTheme="minorHAnsi"/>
          <w:sz w:val="18"/>
          <w:szCs w:val="18"/>
        </w:rPr>
        <w:t>Open Knowledge International</w:t>
      </w:r>
      <w:r w:rsidR="00BC2196" w:rsidRPr="006C70E3">
        <w:rPr>
          <w:rFonts w:asciiTheme="minorHAnsi" w:hAnsiTheme="minorHAnsi"/>
          <w:sz w:val="18"/>
          <w:szCs w:val="18"/>
        </w:rPr>
        <w:t xml:space="preserve"> </w:t>
      </w:r>
      <w:hyperlink r:id="rId23" w:history="1">
        <w:r w:rsidRPr="006C70E3">
          <w:rPr>
            <w:rFonts w:asciiTheme="minorHAnsi" w:eastAsiaTheme="minorHAnsi" w:hAnsiTheme="minorHAnsi"/>
            <w:sz w:val="18"/>
            <w:szCs w:val="18"/>
          </w:rPr>
          <w:t>https://okfn.org/opendata/</w:t>
        </w:r>
      </w:hyperlink>
    </w:p>
    <w:p w:rsidR="005A03A5" w:rsidRPr="006C70E3" w:rsidRDefault="005A03A5" w:rsidP="006C70E3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284" w:hanging="284"/>
        <w:rPr>
          <w:rFonts w:asciiTheme="minorHAnsi" w:eastAsiaTheme="minorHAnsi" w:hAnsiTheme="minorHAnsi"/>
          <w:sz w:val="18"/>
          <w:szCs w:val="18"/>
        </w:rPr>
      </w:pPr>
      <w:r w:rsidRPr="006C70E3">
        <w:rPr>
          <w:rFonts w:asciiTheme="minorHAnsi" w:hAnsiTheme="minorHAnsi"/>
          <w:sz w:val="18"/>
          <w:szCs w:val="18"/>
        </w:rPr>
        <w:t>Open Data Support – European Union by PWC</w:t>
      </w:r>
      <w:r w:rsidR="00BC2196" w:rsidRPr="006C70E3">
        <w:rPr>
          <w:rFonts w:asciiTheme="minorHAnsi" w:hAnsiTheme="minorHAnsi"/>
          <w:sz w:val="18"/>
          <w:szCs w:val="18"/>
        </w:rPr>
        <w:t xml:space="preserve"> </w:t>
      </w:r>
      <w:hyperlink r:id="rId24" w:history="1">
        <w:r w:rsidRPr="006C70E3">
          <w:rPr>
            <w:rFonts w:asciiTheme="minorHAnsi" w:eastAsiaTheme="minorHAnsi" w:hAnsiTheme="minorHAnsi"/>
            <w:sz w:val="18"/>
            <w:szCs w:val="18"/>
          </w:rPr>
          <w:t>https://joinup.ec.europa.eu/sites/default/files/document/2015-05/d2.1.2_training_module_2.5_data_and_metadata_licensing_v1.00_en.pdf</w:t>
        </w:r>
      </w:hyperlink>
    </w:p>
    <w:p w:rsidR="005A03A5" w:rsidRPr="006C70E3" w:rsidRDefault="009C55AF" w:rsidP="006C70E3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284" w:hanging="284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proofErr w:type="spellStart"/>
      <w:r w:rsidRPr="006C70E3">
        <w:rPr>
          <w:rFonts w:asciiTheme="minorHAnsi" w:eastAsiaTheme="minorHAnsi" w:hAnsiTheme="minorHAnsi" w:cstheme="minorBidi"/>
          <w:sz w:val="18"/>
          <w:szCs w:val="18"/>
          <w:lang w:eastAsia="en-US"/>
        </w:rPr>
        <w:t>Standford</w:t>
      </w:r>
      <w:proofErr w:type="spellEnd"/>
      <w:r w:rsidRPr="006C70E3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Libraries </w:t>
      </w:r>
      <w:hyperlink r:id="rId25" w:history="1">
        <w:r w:rsidRPr="006C70E3">
          <w:rPr>
            <w:rFonts w:asciiTheme="minorHAnsi" w:eastAsiaTheme="minorHAnsi" w:hAnsiTheme="minorHAnsi"/>
            <w:sz w:val="18"/>
            <w:szCs w:val="18"/>
          </w:rPr>
          <w:t>https://library.stanford.edu/research/data-management-services/share-and-preserve-research-data/licensing</w:t>
        </w:r>
      </w:hyperlink>
    </w:p>
    <w:p w:rsidR="005A2AD6" w:rsidRPr="006C70E3" w:rsidRDefault="005A2AD6" w:rsidP="005A2AD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284" w:hanging="284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C70E3">
        <w:rPr>
          <w:rFonts w:asciiTheme="minorHAnsi" w:hAnsiTheme="minorHAnsi"/>
          <w:sz w:val="18"/>
          <w:szCs w:val="18"/>
        </w:rPr>
        <w:t>The law dictionary https://thelawdictionary.org/license/</w:t>
      </w:r>
    </w:p>
    <w:p w:rsidR="005A2AD6" w:rsidRPr="006C70E3" w:rsidRDefault="005A2AD6" w:rsidP="005A2AD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284" w:hanging="284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C70E3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The Open Data Institute </w:t>
      </w:r>
      <w:hyperlink r:id="rId26" w:history="1">
        <w:r w:rsidRPr="006C70E3">
          <w:rPr>
            <w:rFonts w:asciiTheme="minorHAnsi" w:eastAsiaTheme="minorHAnsi" w:hAnsiTheme="minorHAnsi"/>
            <w:sz w:val="18"/>
            <w:szCs w:val="18"/>
          </w:rPr>
          <w:t>https://theodi.org/knowledge-opinion/guides/</w:t>
        </w:r>
      </w:hyperlink>
    </w:p>
    <w:p w:rsidR="008F343D" w:rsidRPr="005E3DB3" w:rsidRDefault="008F343D" w:rsidP="006C70E3">
      <w:pPr>
        <w:pStyle w:val="NormalWeb"/>
        <w:shd w:val="clear" w:color="auto" w:fill="FFFFFF"/>
        <w:spacing w:before="0" w:beforeAutospacing="0" w:after="120" w:afterAutospacing="0"/>
      </w:pPr>
    </w:p>
    <w:sectPr w:rsidR="008F343D" w:rsidRPr="005E3DB3" w:rsidSect="00BC219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F7" w:rsidRDefault="00C75AF7" w:rsidP="00D06FD0">
      <w:pPr>
        <w:spacing w:after="0" w:line="240" w:lineRule="auto"/>
      </w:pPr>
      <w:r>
        <w:separator/>
      </w:r>
    </w:p>
  </w:endnote>
  <w:endnote w:type="continuationSeparator" w:id="0">
    <w:p w:rsidR="00C75AF7" w:rsidRDefault="00C75AF7" w:rsidP="00D0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D6" w:rsidRDefault="005A2AD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D6" w:rsidRDefault="005A2AD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D6" w:rsidRDefault="005A2AD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F7" w:rsidRDefault="00C75AF7" w:rsidP="00D06FD0">
      <w:pPr>
        <w:spacing w:after="0" w:line="240" w:lineRule="auto"/>
      </w:pPr>
      <w:r>
        <w:separator/>
      </w:r>
    </w:p>
  </w:footnote>
  <w:footnote w:type="continuationSeparator" w:id="0">
    <w:p w:rsidR="00C75AF7" w:rsidRDefault="00C75AF7" w:rsidP="00D06FD0">
      <w:pPr>
        <w:spacing w:after="0" w:line="240" w:lineRule="auto"/>
      </w:pPr>
      <w:r>
        <w:continuationSeparator/>
      </w:r>
    </w:p>
  </w:footnote>
  <w:footnote w:id="1">
    <w:p w:rsidR="009A4C25" w:rsidRDefault="009A4C25" w:rsidP="0008370E">
      <w:pPr>
        <w:pStyle w:val="Fodnotetekst"/>
      </w:pPr>
      <w:r>
        <w:rPr>
          <w:rStyle w:val="Fodnotehenvisning"/>
        </w:rPr>
        <w:footnoteRef/>
      </w:r>
      <w:r>
        <w:t xml:space="preserve"> IHO: The Hydrographic and Oceanographic Dimension to Marine Spatial Data Infrastructure Development: Developing the capability </w:t>
      </w:r>
      <w:hyperlink r:id="rId1" w:history="1">
        <w:r w:rsidRPr="00835FCE">
          <w:rPr>
            <w:rStyle w:val="Hyperlink"/>
          </w:rPr>
          <w:t>https://www.iho.int/mtg_docs/com_wg/MSDIWG/MSDIWG_Misc/Marine_SDI_Documents/MSDI_white_paper.pdf</w:t>
        </w:r>
      </w:hyperlink>
    </w:p>
  </w:footnote>
  <w:footnote w:id="2">
    <w:p w:rsidR="009A4C25" w:rsidRDefault="009A4C25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53423">
        <w:t>https://thelawdictionary.org/license/</w:t>
      </w:r>
    </w:p>
  </w:footnote>
  <w:footnote w:id="3">
    <w:p w:rsidR="009A4C25" w:rsidRDefault="009A4C25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BB46C5">
        <w:t>https://opendefinition.org/</w:t>
      </w:r>
    </w:p>
  </w:footnote>
  <w:footnote w:id="4">
    <w:p w:rsidR="009A4C25" w:rsidRDefault="009A4C25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387B2A">
        <w:t>https://www.iho.int/mtg_docs/com_wg/MSDIWG/MSDIWG_Misc/Marine_SDI_Documents/SDI_Hydrographic_Data_Policy.pdf</w:t>
      </w:r>
    </w:p>
  </w:footnote>
  <w:footnote w:id="5">
    <w:p w:rsidR="00BC2196" w:rsidRDefault="00BC2196" w:rsidP="00BC2196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BC2196">
        <w:t>https://creativecommons.org/</w:t>
      </w:r>
    </w:p>
  </w:footnote>
  <w:footnote w:id="6">
    <w:p w:rsidR="00BC2196" w:rsidRDefault="00BC2196" w:rsidP="00BC2196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BC2196">
        <w:t>https://opendatacommons.org/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D6" w:rsidRDefault="005A2AD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478194"/>
      <w:docPartObj>
        <w:docPartGallery w:val="Watermarks"/>
        <w:docPartUnique/>
      </w:docPartObj>
    </w:sdtPr>
    <w:sdtEndPr/>
    <w:sdtContent>
      <w:p w:rsidR="005A2AD6" w:rsidRDefault="00C75AF7">
        <w:pPr>
          <w:pStyle w:val="Sidehoved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D6" w:rsidRDefault="005A2A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933"/>
    <w:multiLevelType w:val="hybridMultilevel"/>
    <w:tmpl w:val="EC2C1AA8"/>
    <w:lvl w:ilvl="0" w:tplc="1409001B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80C58"/>
    <w:multiLevelType w:val="multilevel"/>
    <w:tmpl w:val="84D4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F326EC"/>
    <w:multiLevelType w:val="multilevel"/>
    <w:tmpl w:val="AB78B54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147B5B0E"/>
    <w:multiLevelType w:val="hybridMultilevel"/>
    <w:tmpl w:val="C6623984"/>
    <w:lvl w:ilvl="0" w:tplc="C80ACA12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  <w:sz w:val="23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74F4B"/>
    <w:multiLevelType w:val="multilevel"/>
    <w:tmpl w:val="7AF2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D5E7B"/>
    <w:multiLevelType w:val="multilevel"/>
    <w:tmpl w:val="C782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25645"/>
    <w:multiLevelType w:val="hybridMultilevel"/>
    <w:tmpl w:val="98EC2A8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31B10"/>
    <w:multiLevelType w:val="hybridMultilevel"/>
    <w:tmpl w:val="D6F4F79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5235"/>
    <w:multiLevelType w:val="multilevel"/>
    <w:tmpl w:val="1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8416A6"/>
    <w:multiLevelType w:val="hybridMultilevel"/>
    <w:tmpl w:val="58A64E9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04A31"/>
    <w:multiLevelType w:val="hybridMultilevel"/>
    <w:tmpl w:val="0E30CCD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30BA7"/>
    <w:multiLevelType w:val="multilevel"/>
    <w:tmpl w:val="5346FC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 w15:restartNumberingAfterBreak="0">
    <w:nsid w:val="641375EC"/>
    <w:multiLevelType w:val="hybridMultilevel"/>
    <w:tmpl w:val="AB9CEB44"/>
    <w:lvl w:ilvl="0" w:tplc="8020C3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CA3FB1"/>
    <w:multiLevelType w:val="hybridMultilevel"/>
    <w:tmpl w:val="3AE8649A"/>
    <w:lvl w:ilvl="0" w:tplc="1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A266CD"/>
    <w:multiLevelType w:val="hybridMultilevel"/>
    <w:tmpl w:val="3836E7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202F8"/>
    <w:multiLevelType w:val="hybridMultilevel"/>
    <w:tmpl w:val="58A64E90"/>
    <w:lvl w:ilvl="0" w:tplc="140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92" w:hanging="360"/>
      </w:pPr>
    </w:lvl>
    <w:lvl w:ilvl="2" w:tplc="1409001B" w:tentative="1">
      <w:start w:val="1"/>
      <w:numFmt w:val="lowerRoman"/>
      <w:lvlText w:val="%3."/>
      <w:lvlJc w:val="right"/>
      <w:pPr>
        <w:ind w:left="3012" w:hanging="180"/>
      </w:pPr>
    </w:lvl>
    <w:lvl w:ilvl="3" w:tplc="1409000F" w:tentative="1">
      <w:start w:val="1"/>
      <w:numFmt w:val="decimal"/>
      <w:lvlText w:val="%4."/>
      <w:lvlJc w:val="left"/>
      <w:pPr>
        <w:ind w:left="3732" w:hanging="360"/>
      </w:pPr>
    </w:lvl>
    <w:lvl w:ilvl="4" w:tplc="14090019" w:tentative="1">
      <w:start w:val="1"/>
      <w:numFmt w:val="lowerLetter"/>
      <w:lvlText w:val="%5."/>
      <w:lvlJc w:val="left"/>
      <w:pPr>
        <w:ind w:left="4452" w:hanging="360"/>
      </w:pPr>
    </w:lvl>
    <w:lvl w:ilvl="5" w:tplc="1409001B" w:tentative="1">
      <w:start w:val="1"/>
      <w:numFmt w:val="lowerRoman"/>
      <w:lvlText w:val="%6."/>
      <w:lvlJc w:val="right"/>
      <w:pPr>
        <w:ind w:left="5172" w:hanging="180"/>
      </w:pPr>
    </w:lvl>
    <w:lvl w:ilvl="6" w:tplc="1409000F" w:tentative="1">
      <w:start w:val="1"/>
      <w:numFmt w:val="decimal"/>
      <w:lvlText w:val="%7."/>
      <w:lvlJc w:val="left"/>
      <w:pPr>
        <w:ind w:left="5892" w:hanging="360"/>
      </w:pPr>
    </w:lvl>
    <w:lvl w:ilvl="7" w:tplc="14090019" w:tentative="1">
      <w:start w:val="1"/>
      <w:numFmt w:val="lowerLetter"/>
      <w:lvlText w:val="%8."/>
      <w:lvlJc w:val="left"/>
      <w:pPr>
        <w:ind w:left="6612" w:hanging="360"/>
      </w:pPr>
    </w:lvl>
    <w:lvl w:ilvl="8" w:tplc="1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75174C85"/>
    <w:multiLevelType w:val="hybridMultilevel"/>
    <w:tmpl w:val="AB820A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25BF"/>
    <w:multiLevelType w:val="hybridMultilevel"/>
    <w:tmpl w:val="CDC6BE9E"/>
    <w:lvl w:ilvl="0" w:tplc="0EA4FA5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15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  <w:num w:numId="14">
    <w:abstractNumId w:val="3"/>
  </w:num>
  <w:num w:numId="15">
    <w:abstractNumId w:val="10"/>
  </w:num>
  <w:num w:numId="16">
    <w:abstractNumId w:val="1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D1"/>
    <w:rsid w:val="0004022F"/>
    <w:rsid w:val="00047A15"/>
    <w:rsid w:val="000758E8"/>
    <w:rsid w:val="0008370E"/>
    <w:rsid w:val="000E20B3"/>
    <w:rsid w:val="000E5EA8"/>
    <w:rsid w:val="00146035"/>
    <w:rsid w:val="00201AE9"/>
    <w:rsid w:val="00244C94"/>
    <w:rsid w:val="002E6778"/>
    <w:rsid w:val="00316DE1"/>
    <w:rsid w:val="0032551B"/>
    <w:rsid w:val="0036196D"/>
    <w:rsid w:val="00387B2A"/>
    <w:rsid w:val="004B1D73"/>
    <w:rsid w:val="004C2E49"/>
    <w:rsid w:val="004F5D77"/>
    <w:rsid w:val="00506CCC"/>
    <w:rsid w:val="005622E8"/>
    <w:rsid w:val="005975FC"/>
    <w:rsid w:val="005A03A5"/>
    <w:rsid w:val="005A2AD6"/>
    <w:rsid w:val="005E3DB3"/>
    <w:rsid w:val="005F2FCC"/>
    <w:rsid w:val="00600DE6"/>
    <w:rsid w:val="006333CE"/>
    <w:rsid w:val="006374AD"/>
    <w:rsid w:val="00653423"/>
    <w:rsid w:val="00677EA3"/>
    <w:rsid w:val="006C70E3"/>
    <w:rsid w:val="007022A6"/>
    <w:rsid w:val="007C3743"/>
    <w:rsid w:val="007D34F4"/>
    <w:rsid w:val="008518D2"/>
    <w:rsid w:val="00893B54"/>
    <w:rsid w:val="008F343D"/>
    <w:rsid w:val="009A4C25"/>
    <w:rsid w:val="009C55AF"/>
    <w:rsid w:val="00A06C0A"/>
    <w:rsid w:val="00AE454D"/>
    <w:rsid w:val="00B00D7F"/>
    <w:rsid w:val="00B823D1"/>
    <w:rsid w:val="00BB46C5"/>
    <w:rsid w:val="00BC2196"/>
    <w:rsid w:val="00C008D5"/>
    <w:rsid w:val="00C75AF7"/>
    <w:rsid w:val="00C94627"/>
    <w:rsid w:val="00CB1B1C"/>
    <w:rsid w:val="00CF301A"/>
    <w:rsid w:val="00D06FD0"/>
    <w:rsid w:val="00D17A81"/>
    <w:rsid w:val="00D73D7B"/>
    <w:rsid w:val="00D94056"/>
    <w:rsid w:val="00DE7EA0"/>
    <w:rsid w:val="00DF6782"/>
    <w:rsid w:val="00E357C6"/>
    <w:rsid w:val="00E50EAD"/>
    <w:rsid w:val="00EC74C5"/>
    <w:rsid w:val="00EF16D1"/>
    <w:rsid w:val="00EF4AD0"/>
    <w:rsid w:val="00F12243"/>
    <w:rsid w:val="00F412A1"/>
    <w:rsid w:val="00F61B7A"/>
    <w:rsid w:val="00FD5FC1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B65E71E-0AA7-4C35-8EC0-A27A981B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D5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77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link w:val="Overskrift4Tegn"/>
    <w:uiPriority w:val="9"/>
    <w:qFormat/>
    <w:rsid w:val="008F34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Standardskrifttypeiafsnit"/>
    <w:rsid w:val="00B823D1"/>
  </w:style>
  <w:style w:type="character" w:styleId="Strk">
    <w:name w:val="Strong"/>
    <w:basedOn w:val="Standardskrifttypeiafsnit"/>
    <w:uiPriority w:val="22"/>
    <w:qFormat/>
    <w:rsid w:val="00B823D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B823D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F343D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8F343D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styleId="Fremhv">
    <w:name w:val="Emphasis"/>
    <w:basedOn w:val="Standardskrifttypeiafsnit"/>
    <w:uiPriority w:val="20"/>
    <w:qFormat/>
    <w:rsid w:val="008F343D"/>
    <w:rPr>
      <w:i/>
      <w:iCs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D5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67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77E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6C0A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06FD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06FD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06FD0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5A2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2AD6"/>
  </w:style>
  <w:style w:type="paragraph" w:styleId="Sidefod">
    <w:name w:val="footer"/>
    <w:basedOn w:val="Normal"/>
    <w:link w:val="SidefodTegn"/>
    <w:uiPriority w:val="99"/>
    <w:unhideWhenUsed/>
    <w:rsid w:val="005A2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73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9459900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910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definition.org/od/2.1/en/" TargetMode="External"/><Relationship Id="rId13" Type="http://schemas.openxmlformats.org/officeDocument/2006/relationships/hyperlink" Target="https://opendefinition.org/licenses/cc-by-sa" TargetMode="External"/><Relationship Id="rId18" Type="http://schemas.openxmlformats.org/officeDocument/2006/relationships/hyperlink" Target="https://opendefinition.org/licenses/odc-pddl" TargetMode="External"/><Relationship Id="rId26" Type="http://schemas.openxmlformats.org/officeDocument/2006/relationships/hyperlink" Target="https://theodi.org/knowledge-opinion/guid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ho.int/mtg_docs/com_wg/MSDIWG/MSDIWG_Misc/Marine_SDI_Documents/SDI_Hydrographic_Data_Policy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pendefinition.org/licenses/cc-by-sa" TargetMode="External"/><Relationship Id="rId17" Type="http://schemas.openxmlformats.org/officeDocument/2006/relationships/hyperlink" Target="https://opendefinition.org/licenses/odc-by" TargetMode="External"/><Relationship Id="rId25" Type="http://schemas.openxmlformats.org/officeDocument/2006/relationships/hyperlink" Target="https://library.stanford.edu/research/data-management-services/share-and-preserve-research-data/licensin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pendefinition.org/licenses/odc-by" TargetMode="External"/><Relationship Id="rId20" Type="http://schemas.openxmlformats.org/officeDocument/2006/relationships/hyperlink" Target="https://www.europeandataportal.eu/elearning/en/module4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definition.org/licenses/cc-by-sa" TargetMode="External"/><Relationship Id="rId24" Type="http://schemas.openxmlformats.org/officeDocument/2006/relationships/hyperlink" Target="https://joinup.ec.europa.eu/sites/default/files/document/2015-05/d2.1.2_training_module_2.5_data_and_metadata_licensing_v1.00_en.pdf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opendefinition.org/licenses/cc-by-sa" TargetMode="External"/><Relationship Id="rId23" Type="http://schemas.openxmlformats.org/officeDocument/2006/relationships/hyperlink" Target="https://okfn.org/opendata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opendefinition.org/licenses/cc-by-sa" TargetMode="External"/><Relationship Id="rId19" Type="http://schemas.openxmlformats.org/officeDocument/2006/relationships/hyperlink" Target="https://creativecommons.org/choose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opendefinition.org/licenses/cc-by" TargetMode="External"/><Relationship Id="rId14" Type="http://schemas.openxmlformats.org/officeDocument/2006/relationships/hyperlink" Target="https://opendefinition.org/licenses/cc-by-sa" TargetMode="External"/><Relationship Id="rId22" Type="http://schemas.openxmlformats.org/officeDocument/2006/relationships/hyperlink" Target="https://opendefinition.org/guide/data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ho.int/mtg_docs/com_wg/MSDIWG/MSDIWG_Misc/Marine_SDI_Documents/MSDI_white_pap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2FF5-F466-4592-BEFC-5549B8C6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1270</Words>
  <Characters>7754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 Information New Zealand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Gabara</dc:creator>
  <cp:lastModifiedBy>Jens Peter Weiss Hartmann</cp:lastModifiedBy>
  <cp:revision>2</cp:revision>
  <dcterms:created xsi:type="dcterms:W3CDTF">2018-08-13T15:34:00Z</dcterms:created>
  <dcterms:modified xsi:type="dcterms:W3CDTF">2018-08-13T15:34:00Z</dcterms:modified>
</cp:coreProperties>
</file>